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4EC" w:rsidRDefault="008454EC"/>
    <w:p w:rsidR="008454EC" w:rsidRDefault="008454EC"/>
    <w:p w:rsidR="008454EC" w:rsidRDefault="008454EC"/>
    <w:p w:rsidR="008454EC" w:rsidRDefault="008454EC"/>
    <w:p w:rsidR="008454EC" w:rsidRDefault="008454EC"/>
    <w:p w:rsidR="008454EC" w:rsidRDefault="008454EC"/>
    <w:p w:rsidR="008454EC" w:rsidRDefault="008454EC"/>
    <w:p w:rsidR="008454EC" w:rsidRDefault="008454EC"/>
    <w:p w:rsidR="008454EC" w:rsidRDefault="008454EC"/>
    <w:p w:rsidR="008454EC" w:rsidRDefault="008454EC"/>
    <w:p w:rsidR="008454EC" w:rsidRDefault="008454EC"/>
    <w:p w:rsidR="008454EC" w:rsidRDefault="008454EC"/>
    <w:p w:rsidR="008454EC" w:rsidRDefault="008454EC"/>
    <w:p w:rsidR="008454EC" w:rsidRDefault="008454EC"/>
    <w:p w:rsidR="008454EC" w:rsidRDefault="008454EC"/>
    <w:p w:rsidR="008454EC" w:rsidRDefault="008454EC"/>
    <w:p w:rsidR="008454EC" w:rsidRDefault="008454EC"/>
    <w:p w:rsidR="008454EC" w:rsidRDefault="008454EC"/>
    <w:p w:rsidR="008454EC" w:rsidRDefault="008454EC"/>
    <w:p w:rsidR="008454EC" w:rsidRDefault="008454EC"/>
    <w:p w:rsidR="008454EC" w:rsidRDefault="008454EC">
      <w:pPr>
        <w:jc w:val="center"/>
        <w:rPr>
          <w:b/>
          <w:bCs/>
          <w:sz w:val="32"/>
          <w:szCs w:val="32"/>
        </w:rPr>
      </w:pPr>
      <w:r>
        <w:rPr>
          <w:b/>
          <w:bCs/>
          <w:sz w:val="32"/>
          <w:szCs w:val="32"/>
        </w:rPr>
        <w:t>IZVJEŠĆE NAČELNIKA</w:t>
      </w:r>
    </w:p>
    <w:p w:rsidR="008454EC" w:rsidRDefault="008454EC">
      <w:pPr>
        <w:jc w:val="center"/>
        <w:rPr>
          <w:b/>
          <w:bCs/>
          <w:sz w:val="32"/>
          <w:szCs w:val="32"/>
        </w:rPr>
      </w:pPr>
      <w:r>
        <w:rPr>
          <w:b/>
          <w:bCs/>
          <w:sz w:val="32"/>
          <w:szCs w:val="32"/>
        </w:rPr>
        <w:t>O IZVRŠENJU PLANA</w:t>
      </w:r>
    </w:p>
    <w:p w:rsidR="008454EC" w:rsidRDefault="008454EC">
      <w:pPr>
        <w:jc w:val="center"/>
        <w:rPr>
          <w:b/>
          <w:bCs/>
          <w:sz w:val="32"/>
          <w:szCs w:val="32"/>
        </w:rPr>
      </w:pPr>
      <w:r>
        <w:rPr>
          <w:b/>
          <w:bCs/>
          <w:sz w:val="32"/>
          <w:szCs w:val="32"/>
        </w:rPr>
        <w:t>GOSPODARENJA OTPADOM OPĆINE PUNAT</w:t>
      </w:r>
    </w:p>
    <w:p w:rsidR="008454EC" w:rsidRDefault="00FE36CF">
      <w:pPr>
        <w:jc w:val="center"/>
        <w:rPr>
          <w:b/>
          <w:bCs/>
          <w:sz w:val="32"/>
          <w:szCs w:val="32"/>
        </w:rPr>
      </w:pPr>
      <w:r>
        <w:rPr>
          <w:b/>
          <w:bCs/>
          <w:sz w:val="32"/>
          <w:szCs w:val="32"/>
        </w:rPr>
        <w:t>ZA 201</w:t>
      </w:r>
      <w:r w:rsidR="001811E7">
        <w:rPr>
          <w:b/>
          <w:bCs/>
          <w:sz w:val="32"/>
          <w:szCs w:val="32"/>
        </w:rPr>
        <w:t>6</w:t>
      </w:r>
      <w:r w:rsidR="008454EC">
        <w:rPr>
          <w:b/>
          <w:bCs/>
          <w:sz w:val="32"/>
          <w:szCs w:val="32"/>
        </w:rPr>
        <w:t>. GODINU</w:t>
      </w:r>
    </w:p>
    <w:p w:rsidR="008454EC" w:rsidRDefault="008454EC"/>
    <w:p w:rsidR="008454EC" w:rsidRDefault="008454EC"/>
    <w:p w:rsidR="008454EC" w:rsidRDefault="008454EC"/>
    <w:p w:rsidR="008454EC" w:rsidRDefault="008454EC">
      <w:pPr>
        <w:jc w:val="center"/>
      </w:pPr>
    </w:p>
    <w:p w:rsidR="008454EC" w:rsidRDefault="008454EC"/>
    <w:p w:rsidR="008454EC" w:rsidRDefault="008454EC"/>
    <w:p w:rsidR="008454EC" w:rsidRDefault="008454EC"/>
    <w:p w:rsidR="008454EC" w:rsidRDefault="008454EC"/>
    <w:p w:rsidR="008454EC" w:rsidRDefault="008454EC"/>
    <w:p w:rsidR="008454EC" w:rsidRDefault="008454EC"/>
    <w:p w:rsidR="008454EC" w:rsidRDefault="008454EC"/>
    <w:p w:rsidR="008454EC" w:rsidRDefault="008454EC"/>
    <w:p w:rsidR="008454EC" w:rsidRDefault="008454EC"/>
    <w:p w:rsidR="008454EC" w:rsidRDefault="008454EC"/>
    <w:p w:rsidR="008454EC" w:rsidRDefault="008454EC"/>
    <w:p w:rsidR="008454EC" w:rsidRDefault="008454EC"/>
    <w:p w:rsidR="008454EC" w:rsidRDefault="008454EC"/>
    <w:p w:rsidR="008454EC" w:rsidRDefault="008454EC"/>
    <w:p w:rsidR="008454EC" w:rsidRDefault="008454EC"/>
    <w:p w:rsidR="008454EC" w:rsidRDefault="008454EC"/>
    <w:p w:rsidR="008454EC" w:rsidRDefault="008454EC"/>
    <w:p w:rsidR="008454EC" w:rsidRDefault="008454EC"/>
    <w:p w:rsidR="008454EC" w:rsidRDefault="008454EC"/>
    <w:p w:rsidR="008454EC" w:rsidRDefault="008454EC"/>
    <w:p w:rsidR="008454EC" w:rsidRDefault="008454EC"/>
    <w:tbl>
      <w:tblPr>
        <w:tblW w:w="9781" w:type="dxa"/>
        <w:tblInd w:w="28" w:type="dxa"/>
        <w:tblLayout w:type="fixed"/>
        <w:tblCellMar>
          <w:top w:w="28" w:type="dxa"/>
          <w:left w:w="28" w:type="dxa"/>
          <w:bottom w:w="28" w:type="dxa"/>
          <w:right w:w="28" w:type="dxa"/>
        </w:tblCellMar>
        <w:tblLook w:val="0000"/>
      </w:tblPr>
      <w:tblGrid>
        <w:gridCol w:w="9781"/>
      </w:tblGrid>
      <w:tr w:rsidR="008454EC" w:rsidTr="00921E79">
        <w:trPr>
          <w:trHeight w:val="116"/>
        </w:trPr>
        <w:tc>
          <w:tcPr>
            <w:tcW w:w="9781" w:type="dxa"/>
            <w:shd w:val="clear" w:color="auto" w:fill="auto"/>
            <w:vAlign w:val="center"/>
          </w:tcPr>
          <w:p w:rsidR="008454EC" w:rsidRDefault="008454EC">
            <w:pPr>
              <w:pStyle w:val="Sadrajitablice"/>
              <w:snapToGrid w:val="0"/>
            </w:pPr>
          </w:p>
        </w:tc>
      </w:tr>
      <w:tr w:rsidR="008454EC" w:rsidTr="00921E79">
        <w:trPr>
          <w:trHeight w:val="176"/>
        </w:trPr>
        <w:tc>
          <w:tcPr>
            <w:tcW w:w="9781" w:type="dxa"/>
            <w:shd w:val="clear" w:color="auto" w:fill="auto"/>
            <w:vAlign w:val="center"/>
          </w:tcPr>
          <w:p w:rsidR="008454EC" w:rsidRDefault="008454EC">
            <w:pPr>
              <w:pStyle w:val="Sadrajitablice"/>
              <w:snapToGrid w:val="0"/>
            </w:pPr>
          </w:p>
        </w:tc>
      </w:tr>
      <w:tr w:rsidR="008454EC" w:rsidTr="00921E79">
        <w:tc>
          <w:tcPr>
            <w:tcW w:w="9781" w:type="dxa"/>
            <w:shd w:val="clear" w:color="auto" w:fill="auto"/>
            <w:vAlign w:val="center"/>
          </w:tcPr>
          <w:p w:rsidR="008454EC" w:rsidRDefault="008454EC">
            <w:pPr>
              <w:pStyle w:val="Sadrajitablice"/>
              <w:snapToGrid w:val="0"/>
            </w:pPr>
          </w:p>
          <w:p w:rsidR="008454EC" w:rsidRDefault="008454EC" w:rsidP="00921E79">
            <w:pPr>
              <w:pStyle w:val="Sadrajitablice"/>
              <w:spacing w:after="283"/>
              <w:ind w:right="-703"/>
              <w:jc w:val="both"/>
            </w:pPr>
            <w:r>
              <w:t xml:space="preserve">Na temelju članka </w:t>
            </w:r>
            <w:r w:rsidR="00350CA4">
              <w:t>20</w:t>
            </w:r>
            <w:r>
              <w:t xml:space="preserve">. stavka </w:t>
            </w:r>
            <w:r w:rsidR="00350CA4">
              <w:t>1</w:t>
            </w:r>
            <w:r>
              <w:t xml:space="preserve">. Zakona o </w:t>
            </w:r>
            <w:r w:rsidR="00350CA4">
              <w:t>održivom gospodarenju otpadom</w:t>
            </w:r>
            <w:r>
              <w:t xml:space="preserve"> („Narodne novine“ br. </w:t>
            </w:r>
            <w:r w:rsidR="00350CA4">
              <w:t>94/13</w:t>
            </w:r>
            <w:r>
              <w:t xml:space="preserve">) i članka 51. Statuta Općine Punat </w:t>
            </w:r>
            <w:r w:rsidR="00865280">
              <w:t>(„Službene novine Primorsko-goranske županije“ broj 25/09, 35/09, 13/13 i 19/13 – pročišćeni tekst), o</w:t>
            </w:r>
            <w:r>
              <w:t>pćinski načelnik Općine Punat podnosi</w:t>
            </w:r>
          </w:p>
          <w:p w:rsidR="008454EC" w:rsidRDefault="008454EC">
            <w:pPr>
              <w:pStyle w:val="Sadrajitablice"/>
              <w:jc w:val="center"/>
              <w:rPr>
                <w:b/>
                <w:sz w:val="26"/>
                <w:szCs w:val="26"/>
              </w:rPr>
            </w:pPr>
            <w:r>
              <w:rPr>
                <w:b/>
                <w:sz w:val="26"/>
                <w:szCs w:val="26"/>
              </w:rPr>
              <w:t>IZVJEŠĆE</w:t>
            </w:r>
          </w:p>
          <w:p w:rsidR="008454EC" w:rsidRDefault="008454EC">
            <w:pPr>
              <w:pStyle w:val="Sadrajitablice"/>
              <w:spacing w:after="283"/>
              <w:jc w:val="center"/>
              <w:rPr>
                <w:b/>
                <w:sz w:val="26"/>
                <w:szCs w:val="26"/>
              </w:rPr>
            </w:pPr>
            <w:r>
              <w:rPr>
                <w:b/>
                <w:sz w:val="26"/>
                <w:szCs w:val="26"/>
              </w:rPr>
              <w:t>o izvršenju Plana gospodare</w:t>
            </w:r>
            <w:r w:rsidR="00865280">
              <w:rPr>
                <w:b/>
                <w:sz w:val="26"/>
                <w:szCs w:val="26"/>
              </w:rPr>
              <w:t>nja otpadom Općine Punat za 201</w:t>
            </w:r>
            <w:r w:rsidR="001811E7">
              <w:rPr>
                <w:b/>
                <w:sz w:val="26"/>
                <w:szCs w:val="26"/>
              </w:rPr>
              <w:t>6</w:t>
            </w:r>
            <w:r>
              <w:rPr>
                <w:b/>
                <w:sz w:val="26"/>
                <w:szCs w:val="26"/>
              </w:rPr>
              <w:t>. godinu</w:t>
            </w:r>
          </w:p>
          <w:p w:rsidR="008454EC" w:rsidRDefault="008454EC">
            <w:pPr>
              <w:pStyle w:val="Sadrajitablice"/>
              <w:spacing w:after="283"/>
              <w:rPr>
                <w:b/>
              </w:rPr>
            </w:pPr>
            <w:r>
              <w:rPr>
                <w:b/>
              </w:rPr>
              <w:t>1. UVOD</w:t>
            </w:r>
          </w:p>
          <w:p w:rsidR="008454EC" w:rsidRDefault="008454EC">
            <w:pPr>
              <w:pStyle w:val="Sadrajitablice"/>
              <w:spacing w:after="283"/>
              <w:jc w:val="both"/>
            </w:pPr>
            <w:r>
              <w:t xml:space="preserve">Plan gospodarenja otpadom Općine Punat za razdoblje od 2010. do 2018. godine ( u daljnjem tekstu Plan)  prihvaćen je na sjednici Općinskog vijeća Općine Punat, održane 18. kolovoza 2010. godine. Plan je objavljen u </w:t>
            </w:r>
            <w:r w:rsidR="00865280">
              <w:t>„</w:t>
            </w:r>
            <w:r>
              <w:t>Službenim novinama Primorsko-goranske županije</w:t>
            </w:r>
            <w:r w:rsidR="00865280">
              <w:t>“</w:t>
            </w:r>
            <w:r>
              <w:t xml:space="preserve"> broj 34 od 23. kolovoza 2010. godine.</w:t>
            </w:r>
          </w:p>
          <w:p w:rsidR="008454EC" w:rsidRDefault="008454EC">
            <w:pPr>
              <w:pStyle w:val="Sadrajitablice"/>
              <w:spacing w:after="283"/>
              <w:jc w:val="both"/>
            </w:pPr>
            <w:r>
              <w:t>Plan je prihvatilo Općinsko vije</w:t>
            </w:r>
            <w:r w:rsidR="00865280">
              <w:t>će, a sukladno istom i članku 20</w:t>
            </w:r>
            <w:r>
              <w:t xml:space="preserve">. Zakona o </w:t>
            </w:r>
            <w:r w:rsidR="00B73E93">
              <w:t>održivom gospodarenju otpadom</w:t>
            </w:r>
            <w:r w:rsidR="006B41DC">
              <w:t xml:space="preserve"> (NN br. 94/13)</w:t>
            </w:r>
            <w:r w:rsidR="00B73E93">
              <w:t>, jednom godišnje (do 31. ožujka</w:t>
            </w:r>
            <w:r>
              <w:t xml:space="preserve"> tekuće godine) </w:t>
            </w:r>
            <w:r w:rsidR="00B73E93">
              <w:t>jedinica lokalne samouprave</w:t>
            </w:r>
            <w:r>
              <w:t xml:space="preserve"> je u obvezi </w:t>
            </w:r>
            <w:r w:rsidR="00B73E93">
              <w:t>dostaviti godišnje</w:t>
            </w:r>
            <w:r>
              <w:t xml:space="preserve"> izvješće o izvršenju Plana</w:t>
            </w:r>
            <w:r w:rsidR="00B73E93">
              <w:t xml:space="preserve"> jedinici područ</w:t>
            </w:r>
            <w:r w:rsidR="0032042A">
              <w:t>n</w:t>
            </w:r>
            <w:r w:rsidR="00B73E93">
              <w:t>e (regionalne) samouprave</w:t>
            </w:r>
            <w:r>
              <w:t>, a poglavito o provedbi utvrđenih obveza i učinkovitosti poduzetih mjera.</w:t>
            </w:r>
          </w:p>
          <w:p w:rsidR="008454EC" w:rsidRDefault="008454EC">
            <w:pPr>
              <w:pStyle w:val="Sadrajitablice"/>
              <w:spacing w:after="283"/>
              <w:jc w:val="both"/>
            </w:pPr>
            <w:r>
              <w:t xml:space="preserve">Uz </w:t>
            </w:r>
            <w:r w:rsidRPr="00F5422D">
              <w:t>Prostorni plan uređenja Općine Punat (SN PGŽ</w:t>
            </w:r>
            <w:r w:rsidR="00F5422D" w:rsidRPr="00F5422D">
              <w:t xml:space="preserve"> 9/08, 33/10 i 14/15</w:t>
            </w:r>
            <w:r w:rsidRPr="00F5422D">
              <w:t>)</w:t>
            </w:r>
            <w:r>
              <w:t>, Plan gospodarenja otpadom za Općinu Punat jedan je od temeljnih dokumenata kojim se definira način i sustav gospodarenja otpadom na području Općine, a ujedno služi i kao osnova za realizaciju projekata predviđenih Županijskim planom gospodarenja otpadom. Osim navedenih dokumenata, provedbeni postupci gospodarenja otpadom na cijelom području otoka Krka definirani su studijom "Ekološki zasnovan sustav zbrinjavanja komunalnog otpada otok Krk"</w:t>
            </w:r>
          </w:p>
          <w:p w:rsidR="008454EC" w:rsidRDefault="008454EC">
            <w:pPr>
              <w:pStyle w:val="Sadrajitablice"/>
              <w:spacing w:after="283"/>
              <w:rPr>
                <w:b/>
              </w:rPr>
            </w:pPr>
            <w:r>
              <w:rPr>
                <w:b/>
              </w:rPr>
              <w:t xml:space="preserve">2. PREGLED POSTOJEĆEG STANJA </w:t>
            </w:r>
          </w:p>
          <w:p w:rsidR="008454EC" w:rsidRDefault="008454EC">
            <w:pPr>
              <w:pStyle w:val="Sadrajitablice"/>
              <w:spacing w:after="283"/>
              <w:rPr>
                <w:b/>
              </w:rPr>
            </w:pPr>
            <w:r>
              <w:rPr>
                <w:b/>
              </w:rPr>
              <w:t xml:space="preserve">   </w:t>
            </w:r>
            <w:r>
              <w:t xml:space="preserve">   a) Komunalni otpad</w:t>
            </w:r>
            <w:r>
              <w:rPr>
                <w:b/>
              </w:rPr>
              <w:t xml:space="preserve"> </w:t>
            </w:r>
          </w:p>
          <w:p w:rsidR="008454EC" w:rsidRDefault="008454EC">
            <w:pPr>
              <w:pStyle w:val="Sadrajitablice"/>
              <w:spacing w:after="283"/>
              <w:jc w:val="both"/>
            </w:pPr>
            <w:r>
              <w:t>Komunalni otpad je otpad iz kućanstava, otpad koji nastaje čišćenjem javnih i prometnih površina te otpad iz proizvodne i uslužne djelatnosti ako je po svojstvima i sastavu sličan otpadu iz kućanstva.</w:t>
            </w:r>
          </w:p>
          <w:p w:rsidR="008454EC" w:rsidRDefault="008454EC">
            <w:pPr>
              <w:pStyle w:val="Sadrajitablice"/>
              <w:spacing w:after="283"/>
              <w:jc w:val="both"/>
            </w:pPr>
            <w:r>
              <w:t>Organizirano skupljanje i odvoz komunalnog otpada koji nastaje u kućanstvima kao i otpada iz poslovnih prostora, na području Općine Punat, obavlja komunalno poduzeće Ponikve</w:t>
            </w:r>
            <w:r w:rsidR="00362DE7">
              <w:t xml:space="preserve"> eko otok Krk</w:t>
            </w:r>
            <w:r w:rsidR="007F66B7">
              <w:t xml:space="preserve"> d.o.o.</w:t>
            </w:r>
            <w:r>
              <w:t xml:space="preserve"> Krk.  Komunalni otpad odlaže se na odlagalištu Treskavac.</w:t>
            </w:r>
          </w:p>
          <w:p w:rsidR="008454EC" w:rsidRDefault="008454EC">
            <w:pPr>
              <w:pStyle w:val="Sadrajitablice"/>
              <w:spacing w:after="283"/>
              <w:jc w:val="both"/>
            </w:pPr>
            <w:r>
              <w:t>Uz odlagalište otpada Treskavac locirano je i centralno reciklažno dvorište na kojem se odvojeno prikupljeni otpad dodatno razdvaja, preša i balira. Tako pripremljeni otpad predaje se tvrtkama koje, sukladn</w:t>
            </w:r>
            <w:r w:rsidR="007F66B7">
              <w:t>o potpisanim ugovorom s Ponikve eko otok Krk d.o.o. Krk</w:t>
            </w:r>
            <w:r>
              <w:t xml:space="preserve"> preuzimaju taj otpad.</w:t>
            </w:r>
          </w:p>
          <w:p w:rsidR="008454EC" w:rsidRDefault="008454EC">
            <w:pPr>
              <w:pStyle w:val="Sadrajitablice"/>
              <w:spacing w:after="283"/>
              <w:jc w:val="both"/>
            </w:pPr>
            <w:r>
              <w:t>Prikupljeni bio otpad kompostira se na za to pripremljenoj površini te se, kao gotov proizvod, prodaje ili dijeli kućanstvima na području otoka Krka - urednim platišama komunalnih usluga. Prema procjeni bio otpad u kućanstvu predstavlja 40% kućnog otpada. Za sada se na otoku Krku, pa tako i na pod</w:t>
            </w:r>
            <w:r w:rsidR="00990C31">
              <w:t>ručju Općine Punat odvaja samo 20</w:t>
            </w:r>
            <w:r>
              <w:t>% bio otpada.</w:t>
            </w:r>
          </w:p>
          <w:p w:rsidR="008454EC" w:rsidRDefault="008454EC">
            <w:pPr>
              <w:pStyle w:val="Sadrajitablice"/>
              <w:spacing w:after="283"/>
            </w:pPr>
            <w:r>
              <w:lastRenderedPageBreak/>
              <w:t>Prema podacima dobivenim od poduzeća Ponikve</w:t>
            </w:r>
            <w:r w:rsidR="00362DE7">
              <w:t xml:space="preserve"> eko otok Krk</w:t>
            </w:r>
            <w:r>
              <w:t xml:space="preserve"> d.o.o., na području Punta i Stare Baške ukupno je postavljeno:</w:t>
            </w:r>
          </w:p>
          <w:p w:rsidR="008454EC" w:rsidRDefault="008454EC">
            <w:pPr>
              <w:pStyle w:val="Sadrajitablice"/>
              <w:spacing w:after="283"/>
            </w:pPr>
            <w:r>
              <w:t>- 655 pos</w:t>
            </w:r>
            <w:r w:rsidR="00E25DD6">
              <w:t>uda,  postavljenih na ukupno 130</w:t>
            </w:r>
            <w:r>
              <w:t xml:space="preserve"> lokacija (sabirnih mjesta)</w:t>
            </w:r>
            <w:r w:rsidR="00D20B87">
              <w:t xml:space="preserve"> </w:t>
            </w:r>
            <w:r>
              <w:t>unutar naselja Punat i Stara Baška</w:t>
            </w:r>
          </w:p>
          <w:p w:rsidR="008454EC" w:rsidRDefault="008454EC">
            <w:pPr>
              <w:pStyle w:val="Sadrajitablice"/>
              <w:spacing w:after="283"/>
            </w:pPr>
            <w:r>
              <w:t>-1 kontejner (ormar) u dvorištu Općine Punat za prihvat otpadnog tekstila, odjeće, posteljine, obuće, torbe, dječje igračke i sl.</w:t>
            </w:r>
          </w:p>
          <w:p w:rsidR="008454EC" w:rsidRDefault="008454EC">
            <w:pPr>
              <w:pStyle w:val="Sadrajitablice"/>
              <w:spacing w:after="283"/>
              <w:jc w:val="both"/>
            </w:pPr>
            <w:r>
              <w:t>Odvojeno skupljanje otpada obavlja se u kućanstv</w:t>
            </w:r>
            <w:r w:rsidR="00E25DD6">
              <w:t>ima, te se na svim navedenim 130</w:t>
            </w:r>
            <w:r>
              <w:t xml:space="preserve"> lokaciji prikuplja i odvojeno  odlaže u za to predviđene posude ("kontejnere"). Na svakoj lokaciji posude su postavljene u setovima po 5 posuda (po 4 posude za odvojeno prikupljanje te jedna posuda za ostali otpad). Pa tako:</w:t>
            </w:r>
          </w:p>
          <w:p w:rsidR="008454EC" w:rsidRDefault="008454EC">
            <w:pPr>
              <w:pStyle w:val="Sadrajitablice"/>
              <w:numPr>
                <w:ilvl w:val="0"/>
                <w:numId w:val="4"/>
              </w:numPr>
              <w:spacing w:after="283"/>
            </w:pPr>
            <w:r>
              <w:t>posuda smeđe boje služi za odlaganje bio otpada, zapremine je 360 l, a ponegdje i 1100 l</w:t>
            </w:r>
          </w:p>
          <w:p w:rsidR="008454EC" w:rsidRDefault="008454EC">
            <w:pPr>
              <w:pStyle w:val="Sadrajitablice"/>
              <w:numPr>
                <w:ilvl w:val="0"/>
                <w:numId w:val="4"/>
              </w:numPr>
              <w:spacing w:after="283"/>
            </w:pPr>
            <w:r>
              <w:t xml:space="preserve"> plavi za papir, karton, tetrapak ambalažu  zapremine 360 l</w:t>
            </w:r>
          </w:p>
          <w:p w:rsidR="008454EC" w:rsidRDefault="008454EC">
            <w:pPr>
              <w:pStyle w:val="Sadrajitablice"/>
              <w:numPr>
                <w:ilvl w:val="0"/>
                <w:numId w:val="4"/>
              </w:numPr>
              <w:spacing w:after="283"/>
            </w:pPr>
            <w:r>
              <w:t xml:space="preserve"> Plastika, pet ambalaža, a također i limenke i sitni metal odvajaju se u kontejner žute boje zapremine 360 l,</w:t>
            </w:r>
          </w:p>
          <w:p w:rsidR="008454EC" w:rsidRDefault="008454EC">
            <w:pPr>
              <w:pStyle w:val="Sadrajitablice"/>
              <w:numPr>
                <w:ilvl w:val="0"/>
                <w:numId w:val="4"/>
              </w:numPr>
              <w:spacing w:after="283"/>
            </w:pPr>
            <w:r>
              <w:t>staklena ambalaža odlaže se u posudu sive boje zapremine 140 l</w:t>
            </w:r>
          </w:p>
          <w:p w:rsidR="008454EC" w:rsidRDefault="008454EC">
            <w:pPr>
              <w:pStyle w:val="Sadrajitablice"/>
              <w:numPr>
                <w:ilvl w:val="0"/>
                <w:numId w:val="4"/>
              </w:numPr>
              <w:spacing w:after="283"/>
            </w:pPr>
            <w:r>
              <w:t xml:space="preserve"> Zeleni 1100 litarski kontejner služi za odlaganje ostalog otpada, odnosno otpada koji nismo mogli odložiti u prethodno navedene</w:t>
            </w:r>
          </w:p>
          <w:p w:rsidR="008454EC" w:rsidRDefault="008454EC">
            <w:pPr>
              <w:pStyle w:val="Sadrajitablice"/>
              <w:spacing w:after="283"/>
              <w:jc w:val="both"/>
            </w:pPr>
            <w:r>
              <w:t xml:space="preserve">U nastavku dajemo pregled prikupljenog otpada na </w:t>
            </w:r>
            <w:r w:rsidR="004769A6">
              <w:t>o</w:t>
            </w:r>
            <w:r>
              <w:t xml:space="preserve">toku Krku i u Puntu po vrstama. Podatak za Općinu Punat ne postoji, već Ponikve procjenjuju da 13% ukupnih količina dolazi s područja naše Općine. Precizniji podaci ne postoje budući da se vozila za prijevoz otpada pune u više općina pa tek onda odlaze na pražnjenje na odlagalište Treskavac odnosno na reciklažno dvorište. </w:t>
            </w:r>
          </w:p>
          <w:p w:rsidR="008454EC" w:rsidRDefault="008454EC">
            <w:pPr>
              <w:pStyle w:val="Sadrajitablice"/>
              <w:spacing w:after="283"/>
              <w:jc w:val="both"/>
            </w:pPr>
            <w:r>
              <w:t>Podaci o prikupljenim kol</w:t>
            </w:r>
            <w:r w:rsidR="00362DE7">
              <w:t>ičinama otpada po vrstama u 201</w:t>
            </w:r>
            <w:r w:rsidR="00E25DD6">
              <w:t>6</w:t>
            </w:r>
            <w:r w:rsidR="0079300B">
              <w:t>. godini (prikaz</w:t>
            </w:r>
            <w:r>
              <w:t xml:space="preserve"> u tonama)</w:t>
            </w:r>
          </w:p>
          <w:p w:rsidR="00D20B87" w:rsidRDefault="00D20B87">
            <w:pPr>
              <w:pStyle w:val="Sadrajitablice"/>
              <w:spacing w:after="283"/>
              <w:jc w:val="both"/>
            </w:pPr>
          </w:p>
          <w:tbl>
            <w:tblPr>
              <w:tblW w:w="0" w:type="auto"/>
              <w:tblLayout w:type="fixed"/>
              <w:tblCellMar>
                <w:top w:w="55" w:type="dxa"/>
                <w:left w:w="55" w:type="dxa"/>
                <w:bottom w:w="55" w:type="dxa"/>
                <w:right w:w="55" w:type="dxa"/>
              </w:tblCellMar>
              <w:tblLook w:val="0000"/>
            </w:tblPr>
            <w:tblGrid>
              <w:gridCol w:w="611"/>
              <w:gridCol w:w="3843"/>
              <w:gridCol w:w="2227"/>
              <w:gridCol w:w="2235"/>
            </w:tblGrid>
            <w:tr w:rsidR="00921E79" w:rsidTr="002345BB">
              <w:trPr>
                <w:trHeight w:val="600"/>
              </w:trPr>
              <w:tc>
                <w:tcPr>
                  <w:tcW w:w="611" w:type="dxa"/>
                  <w:shd w:val="clear" w:color="auto" w:fill="auto"/>
                </w:tcPr>
                <w:p w:rsidR="008454EC" w:rsidRDefault="008454EC" w:rsidP="002345BB">
                  <w:pPr>
                    <w:pStyle w:val="Sadrajitablice"/>
                    <w:snapToGrid w:val="0"/>
                  </w:pPr>
                </w:p>
              </w:tc>
              <w:tc>
                <w:tcPr>
                  <w:tcW w:w="3843" w:type="dxa"/>
                  <w:shd w:val="clear" w:color="auto" w:fill="auto"/>
                </w:tcPr>
                <w:p w:rsidR="008454EC" w:rsidRDefault="008454EC" w:rsidP="002345BB">
                  <w:pPr>
                    <w:pStyle w:val="Sadrajitablice"/>
                    <w:snapToGrid w:val="0"/>
                    <w:jc w:val="center"/>
                  </w:pPr>
                  <w:r>
                    <w:t>VRSTA OTPADA</w:t>
                  </w:r>
                </w:p>
              </w:tc>
              <w:tc>
                <w:tcPr>
                  <w:tcW w:w="2227" w:type="dxa"/>
                  <w:shd w:val="clear" w:color="auto" w:fill="auto"/>
                </w:tcPr>
                <w:p w:rsidR="008454EC" w:rsidRDefault="008454EC" w:rsidP="002345BB">
                  <w:pPr>
                    <w:pStyle w:val="Sadrajitablice"/>
                    <w:snapToGrid w:val="0"/>
                    <w:jc w:val="center"/>
                  </w:pPr>
                  <w:r>
                    <w:t xml:space="preserve">Otok Krk </w:t>
                  </w:r>
                </w:p>
                <w:p w:rsidR="008454EC" w:rsidRDefault="008454EC" w:rsidP="002345BB">
                  <w:pPr>
                    <w:pStyle w:val="Sadrajitablice"/>
                    <w:jc w:val="center"/>
                  </w:pPr>
                  <w:r>
                    <w:t>(količine u tonama)</w:t>
                  </w:r>
                </w:p>
              </w:tc>
              <w:tc>
                <w:tcPr>
                  <w:tcW w:w="2235" w:type="dxa"/>
                  <w:shd w:val="clear" w:color="auto" w:fill="auto"/>
                </w:tcPr>
                <w:p w:rsidR="008454EC" w:rsidRDefault="008454EC" w:rsidP="002345BB">
                  <w:pPr>
                    <w:pStyle w:val="Sadrajitablice"/>
                    <w:snapToGrid w:val="0"/>
                    <w:jc w:val="center"/>
                  </w:pPr>
                  <w:r>
                    <w:t>Punat</w:t>
                  </w:r>
                </w:p>
                <w:p w:rsidR="008454EC" w:rsidRDefault="008454EC" w:rsidP="002345BB">
                  <w:pPr>
                    <w:pStyle w:val="Sadrajitablice"/>
                    <w:jc w:val="center"/>
                  </w:pPr>
                  <w:r>
                    <w:t>(procjena 13%)</w:t>
                  </w:r>
                </w:p>
              </w:tc>
            </w:tr>
            <w:tr w:rsidR="00921E79" w:rsidTr="001053F5">
              <w:tc>
                <w:tcPr>
                  <w:tcW w:w="611" w:type="dxa"/>
                  <w:shd w:val="clear" w:color="auto" w:fill="FFFFFF"/>
                </w:tcPr>
                <w:p w:rsidR="008454EC" w:rsidRPr="001053F5" w:rsidRDefault="008454EC">
                  <w:pPr>
                    <w:pStyle w:val="Sadrajitablice"/>
                    <w:snapToGrid w:val="0"/>
                  </w:pPr>
                  <w:r w:rsidRPr="001053F5">
                    <w:t>1</w:t>
                  </w:r>
                </w:p>
              </w:tc>
              <w:tc>
                <w:tcPr>
                  <w:tcW w:w="3843" w:type="dxa"/>
                  <w:shd w:val="clear" w:color="auto" w:fill="FFFFFF"/>
                </w:tcPr>
                <w:p w:rsidR="008454EC" w:rsidRPr="001053F5" w:rsidRDefault="008454EC">
                  <w:pPr>
                    <w:pStyle w:val="Sadrajitablice"/>
                    <w:snapToGrid w:val="0"/>
                  </w:pPr>
                  <w:r w:rsidRPr="001053F5">
                    <w:t xml:space="preserve">Mješani komunalni otpad </w:t>
                  </w:r>
                </w:p>
              </w:tc>
              <w:tc>
                <w:tcPr>
                  <w:tcW w:w="2227" w:type="dxa"/>
                  <w:shd w:val="clear" w:color="auto" w:fill="auto"/>
                </w:tcPr>
                <w:p w:rsidR="008454EC" w:rsidRPr="00B935D4" w:rsidRDefault="00E25DD6">
                  <w:pPr>
                    <w:pStyle w:val="Sadrajitablice"/>
                    <w:snapToGrid w:val="0"/>
                    <w:jc w:val="right"/>
                  </w:pPr>
                  <w:r>
                    <w:t>9.416</w:t>
                  </w:r>
                  <w:r w:rsidR="0079300B" w:rsidRPr="00B935D4">
                    <w:t>,</w:t>
                  </w:r>
                  <w:r>
                    <w:t>38</w:t>
                  </w:r>
                </w:p>
              </w:tc>
              <w:tc>
                <w:tcPr>
                  <w:tcW w:w="2235" w:type="dxa"/>
                  <w:shd w:val="clear" w:color="auto" w:fill="auto"/>
                </w:tcPr>
                <w:p w:rsidR="008454EC" w:rsidRPr="00926C07" w:rsidRDefault="00926C07" w:rsidP="00926C07">
                  <w:pPr>
                    <w:pStyle w:val="Sadrajitablice"/>
                    <w:snapToGrid w:val="0"/>
                    <w:jc w:val="right"/>
                    <w:rPr>
                      <w:highlight w:val="yellow"/>
                    </w:rPr>
                  </w:pPr>
                  <w:r w:rsidRPr="00926C07">
                    <w:t>1.224,13</w:t>
                  </w:r>
                </w:p>
              </w:tc>
            </w:tr>
            <w:tr w:rsidR="00921E79" w:rsidTr="002345BB">
              <w:tc>
                <w:tcPr>
                  <w:tcW w:w="611" w:type="dxa"/>
                  <w:shd w:val="clear" w:color="auto" w:fill="FFFFFF"/>
                </w:tcPr>
                <w:p w:rsidR="008454EC" w:rsidRPr="001053F5" w:rsidRDefault="008454EC" w:rsidP="002345BB">
                  <w:pPr>
                    <w:pStyle w:val="Sadrajitablice"/>
                    <w:snapToGrid w:val="0"/>
                  </w:pPr>
                  <w:r w:rsidRPr="001053F5">
                    <w:t>2</w:t>
                  </w:r>
                </w:p>
              </w:tc>
              <w:tc>
                <w:tcPr>
                  <w:tcW w:w="3843" w:type="dxa"/>
                  <w:shd w:val="clear" w:color="auto" w:fill="FFFFFF"/>
                </w:tcPr>
                <w:p w:rsidR="008454EC" w:rsidRPr="001053F5" w:rsidRDefault="008454EC" w:rsidP="002345BB">
                  <w:pPr>
                    <w:pStyle w:val="Sadrajitablice"/>
                    <w:snapToGrid w:val="0"/>
                  </w:pPr>
                  <w:r w:rsidRPr="001053F5">
                    <w:t xml:space="preserve">Glomazno otpad </w:t>
                  </w:r>
                </w:p>
              </w:tc>
              <w:tc>
                <w:tcPr>
                  <w:tcW w:w="2227" w:type="dxa"/>
                  <w:shd w:val="clear" w:color="auto" w:fill="auto"/>
                </w:tcPr>
                <w:p w:rsidR="008454EC" w:rsidRPr="00B935D4" w:rsidRDefault="00E25DD6" w:rsidP="002345BB">
                  <w:pPr>
                    <w:pStyle w:val="Sadrajitablice"/>
                    <w:snapToGrid w:val="0"/>
                    <w:jc w:val="right"/>
                  </w:pPr>
                  <w:r>
                    <w:t>1.003,32</w:t>
                  </w:r>
                </w:p>
              </w:tc>
              <w:tc>
                <w:tcPr>
                  <w:tcW w:w="2235" w:type="dxa"/>
                  <w:shd w:val="clear" w:color="auto" w:fill="auto"/>
                </w:tcPr>
                <w:p w:rsidR="008454EC" w:rsidRPr="002345BB" w:rsidRDefault="00926C07" w:rsidP="002345BB">
                  <w:pPr>
                    <w:pStyle w:val="Sadrajitablice"/>
                    <w:snapToGrid w:val="0"/>
                    <w:jc w:val="right"/>
                    <w:rPr>
                      <w:highlight w:val="yellow"/>
                    </w:rPr>
                  </w:pPr>
                  <w:r w:rsidRPr="00926C07">
                    <w:t>130</w:t>
                  </w:r>
                  <w:r w:rsidR="0093517C" w:rsidRPr="00926C07">
                    <w:t>,</w:t>
                  </w:r>
                  <w:r w:rsidRPr="00926C07">
                    <w:t>43</w:t>
                  </w:r>
                </w:p>
              </w:tc>
            </w:tr>
            <w:tr w:rsidR="00921E79" w:rsidTr="001053F5">
              <w:tc>
                <w:tcPr>
                  <w:tcW w:w="611" w:type="dxa"/>
                  <w:shd w:val="clear" w:color="auto" w:fill="FFFFFF"/>
                </w:tcPr>
                <w:p w:rsidR="008454EC" w:rsidRPr="001053F5" w:rsidRDefault="008454EC">
                  <w:pPr>
                    <w:pStyle w:val="Sadrajitablice"/>
                    <w:snapToGrid w:val="0"/>
                  </w:pPr>
                  <w:r w:rsidRPr="001053F5">
                    <w:t>3</w:t>
                  </w:r>
                </w:p>
              </w:tc>
              <w:tc>
                <w:tcPr>
                  <w:tcW w:w="3843" w:type="dxa"/>
                  <w:shd w:val="clear" w:color="auto" w:fill="FFFFFF"/>
                </w:tcPr>
                <w:p w:rsidR="008454EC" w:rsidRPr="001053F5" w:rsidRDefault="008454EC">
                  <w:pPr>
                    <w:pStyle w:val="Sadrajitablice"/>
                    <w:snapToGrid w:val="0"/>
                  </w:pPr>
                  <w:r w:rsidRPr="001053F5">
                    <w:t>Ambalažno staklo</w:t>
                  </w:r>
                </w:p>
              </w:tc>
              <w:tc>
                <w:tcPr>
                  <w:tcW w:w="2227" w:type="dxa"/>
                  <w:shd w:val="clear" w:color="auto" w:fill="auto"/>
                </w:tcPr>
                <w:p w:rsidR="008454EC" w:rsidRPr="00B935D4" w:rsidRDefault="00E25DD6">
                  <w:pPr>
                    <w:pStyle w:val="Sadrajitablice"/>
                    <w:snapToGrid w:val="0"/>
                    <w:jc w:val="right"/>
                  </w:pPr>
                  <w:r>
                    <w:t>751</w:t>
                  </w:r>
                  <w:r w:rsidR="00B935D4" w:rsidRPr="00B935D4">
                    <w:t>,</w:t>
                  </w:r>
                  <w:r>
                    <w:t>44</w:t>
                  </w:r>
                </w:p>
              </w:tc>
              <w:tc>
                <w:tcPr>
                  <w:tcW w:w="2235" w:type="dxa"/>
                  <w:shd w:val="clear" w:color="auto" w:fill="auto"/>
                </w:tcPr>
                <w:p w:rsidR="008454EC" w:rsidRPr="00926C07" w:rsidRDefault="00926C07">
                  <w:pPr>
                    <w:pStyle w:val="Sadrajitablice"/>
                    <w:snapToGrid w:val="0"/>
                    <w:jc w:val="right"/>
                  </w:pPr>
                  <w:r w:rsidRPr="00926C07">
                    <w:t>97,69</w:t>
                  </w:r>
                </w:p>
              </w:tc>
            </w:tr>
            <w:tr w:rsidR="00921E79" w:rsidTr="002345BB">
              <w:tc>
                <w:tcPr>
                  <w:tcW w:w="611" w:type="dxa"/>
                  <w:shd w:val="clear" w:color="auto" w:fill="FFFFFF"/>
                </w:tcPr>
                <w:p w:rsidR="008454EC" w:rsidRPr="001053F5" w:rsidRDefault="008454EC" w:rsidP="002345BB">
                  <w:pPr>
                    <w:pStyle w:val="Sadrajitablice"/>
                    <w:snapToGrid w:val="0"/>
                  </w:pPr>
                  <w:r w:rsidRPr="001053F5">
                    <w:t>4</w:t>
                  </w:r>
                </w:p>
              </w:tc>
              <w:tc>
                <w:tcPr>
                  <w:tcW w:w="3843" w:type="dxa"/>
                  <w:shd w:val="clear" w:color="auto" w:fill="FFFFFF"/>
                </w:tcPr>
                <w:p w:rsidR="008454EC" w:rsidRPr="001053F5" w:rsidRDefault="008454EC" w:rsidP="002345BB">
                  <w:pPr>
                    <w:pStyle w:val="Sadrajitablice"/>
                    <w:snapToGrid w:val="0"/>
                  </w:pPr>
                  <w:r w:rsidRPr="001053F5">
                    <w:t>Ambalažni metal</w:t>
                  </w:r>
                </w:p>
              </w:tc>
              <w:tc>
                <w:tcPr>
                  <w:tcW w:w="2227" w:type="dxa"/>
                  <w:shd w:val="clear" w:color="auto" w:fill="auto"/>
                </w:tcPr>
                <w:p w:rsidR="008454EC" w:rsidRPr="00B935D4" w:rsidRDefault="00E25DD6" w:rsidP="002345BB">
                  <w:pPr>
                    <w:pStyle w:val="Sadrajitablice"/>
                    <w:snapToGrid w:val="0"/>
                    <w:jc w:val="right"/>
                  </w:pPr>
                  <w:r>
                    <w:t>32</w:t>
                  </w:r>
                  <w:r w:rsidR="004D5B57">
                    <w:t>,</w:t>
                  </w:r>
                  <w:r>
                    <w:t>16</w:t>
                  </w:r>
                </w:p>
              </w:tc>
              <w:tc>
                <w:tcPr>
                  <w:tcW w:w="2235" w:type="dxa"/>
                  <w:shd w:val="clear" w:color="auto" w:fill="auto"/>
                </w:tcPr>
                <w:p w:rsidR="008454EC" w:rsidRPr="002345BB" w:rsidRDefault="0093517C" w:rsidP="002345BB">
                  <w:pPr>
                    <w:pStyle w:val="Sadrajitablice"/>
                    <w:snapToGrid w:val="0"/>
                    <w:jc w:val="right"/>
                    <w:rPr>
                      <w:highlight w:val="yellow"/>
                    </w:rPr>
                  </w:pPr>
                  <w:r w:rsidRPr="00926C07">
                    <w:t>4,</w:t>
                  </w:r>
                  <w:r w:rsidR="00926C07" w:rsidRPr="00926C07">
                    <w:t>18</w:t>
                  </w:r>
                </w:p>
              </w:tc>
            </w:tr>
            <w:tr w:rsidR="00921E79" w:rsidTr="001053F5">
              <w:tc>
                <w:tcPr>
                  <w:tcW w:w="611" w:type="dxa"/>
                  <w:shd w:val="clear" w:color="auto" w:fill="FFFFFF"/>
                </w:tcPr>
                <w:p w:rsidR="008454EC" w:rsidRPr="001053F5" w:rsidRDefault="008454EC">
                  <w:pPr>
                    <w:pStyle w:val="Sadrajitablice"/>
                    <w:snapToGrid w:val="0"/>
                  </w:pPr>
                  <w:r w:rsidRPr="001053F5">
                    <w:t>5</w:t>
                  </w:r>
                </w:p>
              </w:tc>
              <w:tc>
                <w:tcPr>
                  <w:tcW w:w="3843" w:type="dxa"/>
                  <w:shd w:val="clear" w:color="auto" w:fill="FFFFFF"/>
                </w:tcPr>
                <w:p w:rsidR="008454EC" w:rsidRPr="001053F5" w:rsidRDefault="008454EC">
                  <w:pPr>
                    <w:pStyle w:val="Sadrajitablice"/>
                    <w:snapToGrid w:val="0"/>
                  </w:pPr>
                  <w:r w:rsidRPr="001053F5">
                    <w:t>Karton i papir</w:t>
                  </w:r>
                </w:p>
              </w:tc>
              <w:tc>
                <w:tcPr>
                  <w:tcW w:w="2227" w:type="dxa"/>
                  <w:shd w:val="clear" w:color="auto" w:fill="auto"/>
                </w:tcPr>
                <w:p w:rsidR="008454EC" w:rsidRPr="00B935D4" w:rsidRDefault="00E25DD6" w:rsidP="004D5B57">
                  <w:pPr>
                    <w:pStyle w:val="Sadrajitablice"/>
                    <w:snapToGrid w:val="0"/>
                    <w:jc w:val="right"/>
                  </w:pPr>
                  <w:r>
                    <w:t>3</w:t>
                  </w:r>
                  <w:r w:rsidR="0079300B" w:rsidRPr="00B935D4">
                    <w:t>.</w:t>
                  </w:r>
                  <w:r>
                    <w:t>133</w:t>
                  </w:r>
                  <w:r w:rsidR="0079300B" w:rsidRPr="00B935D4">
                    <w:t>,</w:t>
                  </w:r>
                  <w:r>
                    <w:t>60</w:t>
                  </w:r>
                </w:p>
              </w:tc>
              <w:tc>
                <w:tcPr>
                  <w:tcW w:w="2235" w:type="dxa"/>
                  <w:shd w:val="clear" w:color="auto" w:fill="auto"/>
                </w:tcPr>
                <w:p w:rsidR="008454EC" w:rsidRPr="00926C07" w:rsidRDefault="00926C07">
                  <w:pPr>
                    <w:pStyle w:val="Sadrajitablice"/>
                    <w:snapToGrid w:val="0"/>
                    <w:jc w:val="right"/>
                    <w:rPr>
                      <w:highlight w:val="yellow"/>
                    </w:rPr>
                  </w:pPr>
                  <w:r w:rsidRPr="00926C07">
                    <w:t>407</w:t>
                  </w:r>
                  <w:r w:rsidR="0093517C" w:rsidRPr="00926C07">
                    <w:t>,</w:t>
                  </w:r>
                  <w:r w:rsidRPr="00926C07">
                    <w:t>37</w:t>
                  </w:r>
                </w:p>
              </w:tc>
            </w:tr>
            <w:tr w:rsidR="00921E79" w:rsidTr="002345BB">
              <w:tc>
                <w:tcPr>
                  <w:tcW w:w="611" w:type="dxa"/>
                  <w:shd w:val="clear" w:color="auto" w:fill="FFFFFF"/>
                </w:tcPr>
                <w:p w:rsidR="008454EC" w:rsidRPr="001053F5" w:rsidRDefault="008454EC" w:rsidP="002345BB">
                  <w:pPr>
                    <w:pStyle w:val="Sadrajitablice"/>
                    <w:snapToGrid w:val="0"/>
                  </w:pPr>
                  <w:r w:rsidRPr="001053F5">
                    <w:t>6</w:t>
                  </w:r>
                </w:p>
              </w:tc>
              <w:tc>
                <w:tcPr>
                  <w:tcW w:w="3843" w:type="dxa"/>
                  <w:shd w:val="clear" w:color="auto" w:fill="FFFFFF"/>
                </w:tcPr>
                <w:p w:rsidR="008454EC" w:rsidRPr="001053F5" w:rsidRDefault="008454EC" w:rsidP="002345BB">
                  <w:pPr>
                    <w:pStyle w:val="Sadrajitablice"/>
                    <w:snapToGrid w:val="0"/>
                  </w:pPr>
                  <w:r w:rsidRPr="001053F5">
                    <w:t>Ambalažna plastika</w:t>
                  </w:r>
                </w:p>
              </w:tc>
              <w:tc>
                <w:tcPr>
                  <w:tcW w:w="2227" w:type="dxa"/>
                  <w:shd w:val="clear" w:color="auto" w:fill="auto"/>
                </w:tcPr>
                <w:p w:rsidR="008454EC" w:rsidRPr="00B935D4" w:rsidRDefault="00E25DD6" w:rsidP="002345BB">
                  <w:pPr>
                    <w:pStyle w:val="Sadrajitablice"/>
                    <w:snapToGrid w:val="0"/>
                    <w:jc w:val="right"/>
                  </w:pPr>
                  <w:r>
                    <w:t>870</w:t>
                  </w:r>
                  <w:r w:rsidR="00B935D4">
                    <w:t>,</w:t>
                  </w:r>
                  <w:r w:rsidR="004D5B57">
                    <w:t>7</w:t>
                  </w:r>
                  <w:r>
                    <w:t>2</w:t>
                  </w:r>
                </w:p>
              </w:tc>
              <w:tc>
                <w:tcPr>
                  <w:tcW w:w="2235" w:type="dxa"/>
                  <w:shd w:val="clear" w:color="auto" w:fill="auto"/>
                </w:tcPr>
                <w:p w:rsidR="008454EC" w:rsidRPr="002345BB" w:rsidRDefault="00926C07" w:rsidP="002345BB">
                  <w:pPr>
                    <w:pStyle w:val="Sadrajitablice"/>
                    <w:snapToGrid w:val="0"/>
                    <w:jc w:val="right"/>
                    <w:rPr>
                      <w:highlight w:val="yellow"/>
                    </w:rPr>
                  </w:pPr>
                  <w:r w:rsidRPr="00926C07">
                    <w:t>113</w:t>
                  </w:r>
                  <w:r w:rsidR="0093517C" w:rsidRPr="00926C07">
                    <w:t>,</w:t>
                  </w:r>
                  <w:r w:rsidRPr="00926C07">
                    <w:t>19</w:t>
                  </w:r>
                </w:p>
              </w:tc>
            </w:tr>
            <w:tr w:rsidR="00921E79" w:rsidTr="001053F5">
              <w:trPr>
                <w:trHeight w:val="408"/>
              </w:trPr>
              <w:tc>
                <w:tcPr>
                  <w:tcW w:w="611" w:type="dxa"/>
                  <w:shd w:val="clear" w:color="auto" w:fill="FFFFFF"/>
                </w:tcPr>
                <w:p w:rsidR="008454EC" w:rsidRPr="001053F5" w:rsidRDefault="008454EC">
                  <w:pPr>
                    <w:pStyle w:val="Sadrajitablice"/>
                    <w:snapToGrid w:val="0"/>
                  </w:pPr>
                  <w:r w:rsidRPr="001053F5">
                    <w:t>7</w:t>
                  </w:r>
                </w:p>
              </w:tc>
              <w:tc>
                <w:tcPr>
                  <w:tcW w:w="3843" w:type="dxa"/>
                  <w:shd w:val="clear" w:color="auto" w:fill="FFFFFF"/>
                </w:tcPr>
                <w:p w:rsidR="008454EC" w:rsidRPr="001053F5" w:rsidRDefault="008454EC">
                  <w:pPr>
                    <w:pStyle w:val="Sadrajitablice"/>
                    <w:snapToGrid w:val="0"/>
                  </w:pPr>
                  <w:r w:rsidRPr="001053F5">
                    <w:t>Bio otpad</w:t>
                  </w:r>
                </w:p>
              </w:tc>
              <w:tc>
                <w:tcPr>
                  <w:tcW w:w="2227" w:type="dxa"/>
                  <w:shd w:val="clear" w:color="auto" w:fill="auto"/>
                </w:tcPr>
                <w:p w:rsidR="008454EC" w:rsidRPr="00B935D4" w:rsidRDefault="00E25DD6">
                  <w:pPr>
                    <w:pStyle w:val="Sadrajitablice"/>
                    <w:snapToGrid w:val="0"/>
                    <w:jc w:val="right"/>
                  </w:pPr>
                  <w:r>
                    <w:t>4.144</w:t>
                  </w:r>
                  <w:r w:rsidR="0079300B" w:rsidRPr="00B935D4">
                    <w:t>,</w:t>
                  </w:r>
                  <w:r>
                    <w:t>54</w:t>
                  </w:r>
                </w:p>
              </w:tc>
              <w:tc>
                <w:tcPr>
                  <w:tcW w:w="2235" w:type="dxa"/>
                  <w:shd w:val="clear" w:color="auto" w:fill="auto"/>
                </w:tcPr>
                <w:p w:rsidR="008454EC" w:rsidRPr="00926C07" w:rsidRDefault="00926C07" w:rsidP="00926C07">
                  <w:pPr>
                    <w:pStyle w:val="Sadrajitablice"/>
                    <w:snapToGrid w:val="0"/>
                    <w:jc w:val="right"/>
                    <w:rPr>
                      <w:highlight w:val="yellow"/>
                    </w:rPr>
                  </w:pPr>
                  <w:r w:rsidRPr="00926C07">
                    <w:t>538,79</w:t>
                  </w:r>
                </w:p>
              </w:tc>
            </w:tr>
            <w:tr w:rsidR="00921E79" w:rsidTr="002345BB">
              <w:tc>
                <w:tcPr>
                  <w:tcW w:w="611" w:type="dxa"/>
                  <w:shd w:val="clear" w:color="auto" w:fill="FFFFFF"/>
                </w:tcPr>
                <w:p w:rsidR="008454EC" w:rsidRPr="001053F5" w:rsidRDefault="008454EC" w:rsidP="002345BB">
                  <w:pPr>
                    <w:pStyle w:val="Sadrajitablice"/>
                    <w:snapToGrid w:val="0"/>
                  </w:pPr>
                  <w:r w:rsidRPr="001053F5">
                    <w:t>8</w:t>
                  </w:r>
                </w:p>
              </w:tc>
              <w:tc>
                <w:tcPr>
                  <w:tcW w:w="3843" w:type="dxa"/>
                  <w:shd w:val="clear" w:color="auto" w:fill="FFFFFF"/>
                </w:tcPr>
                <w:p w:rsidR="008454EC" w:rsidRPr="001053F5" w:rsidRDefault="008454EC" w:rsidP="002345BB">
                  <w:pPr>
                    <w:pStyle w:val="Sadrajitablice"/>
                    <w:snapToGrid w:val="0"/>
                  </w:pPr>
                  <w:r w:rsidRPr="001053F5">
                    <w:t xml:space="preserve">Zeleni  otpad </w:t>
                  </w:r>
                </w:p>
              </w:tc>
              <w:tc>
                <w:tcPr>
                  <w:tcW w:w="2227" w:type="dxa"/>
                  <w:shd w:val="clear" w:color="auto" w:fill="auto"/>
                </w:tcPr>
                <w:p w:rsidR="008454EC" w:rsidRPr="00B935D4" w:rsidRDefault="00E25DD6" w:rsidP="002345BB">
                  <w:pPr>
                    <w:pStyle w:val="Sadrajitablice"/>
                    <w:snapToGrid w:val="0"/>
                    <w:jc w:val="right"/>
                  </w:pPr>
                  <w:r>
                    <w:t>1.137</w:t>
                  </w:r>
                  <w:r w:rsidR="004D5B57">
                    <w:t>,4</w:t>
                  </w:r>
                  <w:r>
                    <w:t>2</w:t>
                  </w:r>
                </w:p>
              </w:tc>
              <w:tc>
                <w:tcPr>
                  <w:tcW w:w="2235" w:type="dxa"/>
                  <w:shd w:val="clear" w:color="auto" w:fill="auto"/>
                </w:tcPr>
                <w:p w:rsidR="008454EC" w:rsidRPr="002345BB" w:rsidRDefault="00926C07" w:rsidP="002345BB">
                  <w:pPr>
                    <w:pStyle w:val="Sadrajitablice"/>
                    <w:snapToGrid w:val="0"/>
                    <w:jc w:val="right"/>
                    <w:rPr>
                      <w:highlight w:val="yellow"/>
                    </w:rPr>
                  </w:pPr>
                  <w:r w:rsidRPr="00926C07">
                    <w:t>147</w:t>
                  </w:r>
                  <w:r w:rsidR="0093517C" w:rsidRPr="00926C07">
                    <w:t>,</w:t>
                  </w:r>
                  <w:r w:rsidRPr="00926C07">
                    <w:t>86</w:t>
                  </w:r>
                </w:p>
              </w:tc>
            </w:tr>
            <w:tr w:rsidR="00921E79" w:rsidTr="001053F5">
              <w:tc>
                <w:tcPr>
                  <w:tcW w:w="611" w:type="dxa"/>
                  <w:shd w:val="clear" w:color="auto" w:fill="FFFFFF"/>
                </w:tcPr>
                <w:p w:rsidR="008454EC" w:rsidRPr="001053F5" w:rsidRDefault="008454EC">
                  <w:pPr>
                    <w:pStyle w:val="Sadrajitablice"/>
                    <w:snapToGrid w:val="0"/>
                  </w:pPr>
                  <w:r w:rsidRPr="001053F5">
                    <w:lastRenderedPageBreak/>
                    <w:t>9</w:t>
                  </w:r>
                </w:p>
              </w:tc>
              <w:tc>
                <w:tcPr>
                  <w:tcW w:w="3843" w:type="dxa"/>
                  <w:shd w:val="clear" w:color="auto" w:fill="FFFFFF"/>
                </w:tcPr>
                <w:p w:rsidR="008454EC" w:rsidRPr="001053F5" w:rsidRDefault="008454EC">
                  <w:pPr>
                    <w:pStyle w:val="Sadrajitablice"/>
                    <w:snapToGrid w:val="0"/>
                  </w:pPr>
                  <w:r w:rsidRPr="001053F5">
                    <w:t>Električni i elektronički otpad te EE otpad s POSAM-a</w:t>
                  </w:r>
                </w:p>
              </w:tc>
              <w:tc>
                <w:tcPr>
                  <w:tcW w:w="2227" w:type="dxa"/>
                  <w:shd w:val="clear" w:color="auto" w:fill="auto"/>
                </w:tcPr>
                <w:p w:rsidR="008454EC" w:rsidRPr="00B935D4" w:rsidRDefault="00E25DD6">
                  <w:pPr>
                    <w:pStyle w:val="Sadrajitablice"/>
                    <w:snapToGrid w:val="0"/>
                    <w:jc w:val="right"/>
                  </w:pPr>
                  <w:r>
                    <w:t>40</w:t>
                  </w:r>
                  <w:r w:rsidR="004D5B57">
                    <w:t>,</w:t>
                  </w:r>
                  <w:r>
                    <w:t>97</w:t>
                  </w:r>
                </w:p>
              </w:tc>
              <w:tc>
                <w:tcPr>
                  <w:tcW w:w="2235" w:type="dxa"/>
                  <w:shd w:val="clear" w:color="auto" w:fill="auto"/>
                </w:tcPr>
                <w:p w:rsidR="008454EC" w:rsidRPr="00926C07" w:rsidRDefault="00926C07" w:rsidP="008A1F8C">
                  <w:pPr>
                    <w:pStyle w:val="Sadrajitablice"/>
                    <w:snapToGrid w:val="0"/>
                    <w:jc w:val="right"/>
                    <w:rPr>
                      <w:highlight w:val="yellow"/>
                    </w:rPr>
                  </w:pPr>
                  <w:r w:rsidRPr="00926C07">
                    <w:t>5</w:t>
                  </w:r>
                  <w:r w:rsidR="0093517C" w:rsidRPr="00926C07">
                    <w:t>,</w:t>
                  </w:r>
                  <w:r w:rsidRPr="00926C07">
                    <w:t>33</w:t>
                  </w:r>
                </w:p>
              </w:tc>
            </w:tr>
            <w:tr w:rsidR="00921E79" w:rsidTr="002345BB">
              <w:tc>
                <w:tcPr>
                  <w:tcW w:w="611" w:type="dxa"/>
                  <w:shd w:val="clear" w:color="auto" w:fill="FFFFFF"/>
                </w:tcPr>
                <w:p w:rsidR="008454EC" w:rsidRPr="001053F5" w:rsidRDefault="008454EC" w:rsidP="002345BB">
                  <w:pPr>
                    <w:pStyle w:val="Sadrajitablice"/>
                    <w:snapToGrid w:val="0"/>
                  </w:pPr>
                  <w:r w:rsidRPr="001053F5">
                    <w:t>10</w:t>
                  </w:r>
                </w:p>
              </w:tc>
              <w:tc>
                <w:tcPr>
                  <w:tcW w:w="3843" w:type="dxa"/>
                  <w:shd w:val="clear" w:color="auto" w:fill="FFFFFF"/>
                </w:tcPr>
                <w:p w:rsidR="008454EC" w:rsidRPr="001053F5" w:rsidRDefault="008454EC" w:rsidP="002345BB">
                  <w:pPr>
                    <w:pStyle w:val="Sadrajitablice"/>
                    <w:snapToGrid w:val="0"/>
                  </w:pPr>
                  <w:r w:rsidRPr="001053F5">
                    <w:t>Otpadno željezo</w:t>
                  </w:r>
                </w:p>
              </w:tc>
              <w:tc>
                <w:tcPr>
                  <w:tcW w:w="2227" w:type="dxa"/>
                  <w:shd w:val="clear" w:color="auto" w:fill="auto"/>
                </w:tcPr>
                <w:p w:rsidR="008454EC" w:rsidRPr="00B935D4" w:rsidRDefault="00E25DD6" w:rsidP="002345BB">
                  <w:pPr>
                    <w:pStyle w:val="Sadrajitablice"/>
                    <w:snapToGrid w:val="0"/>
                    <w:jc w:val="right"/>
                  </w:pPr>
                  <w:r>
                    <w:t>47</w:t>
                  </w:r>
                  <w:r w:rsidR="004D5B57">
                    <w:t>,</w:t>
                  </w:r>
                  <w:r>
                    <w:t>89</w:t>
                  </w:r>
                </w:p>
              </w:tc>
              <w:tc>
                <w:tcPr>
                  <w:tcW w:w="2235" w:type="dxa"/>
                  <w:shd w:val="clear" w:color="auto" w:fill="auto"/>
                </w:tcPr>
                <w:p w:rsidR="008454EC" w:rsidRPr="002345BB" w:rsidRDefault="00926C07" w:rsidP="002345BB">
                  <w:pPr>
                    <w:pStyle w:val="Sadrajitablice"/>
                    <w:snapToGrid w:val="0"/>
                    <w:jc w:val="right"/>
                    <w:rPr>
                      <w:highlight w:val="yellow"/>
                    </w:rPr>
                  </w:pPr>
                  <w:r w:rsidRPr="00926C07">
                    <w:t>6</w:t>
                  </w:r>
                  <w:r w:rsidR="0093517C" w:rsidRPr="00926C07">
                    <w:t>,</w:t>
                  </w:r>
                  <w:r w:rsidRPr="00926C07">
                    <w:t>23</w:t>
                  </w:r>
                </w:p>
              </w:tc>
            </w:tr>
            <w:tr w:rsidR="00921E79" w:rsidTr="001053F5">
              <w:trPr>
                <w:trHeight w:val="425"/>
              </w:trPr>
              <w:tc>
                <w:tcPr>
                  <w:tcW w:w="611" w:type="dxa"/>
                  <w:shd w:val="clear" w:color="auto" w:fill="FFFFFF"/>
                </w:tcPr>
                <w:p w:rsidR="008454EC" w:rsidRPr="001053F5" w:rsidRDefault="008454EC">
                  <w:pPr>
                    <w:pStyle w:val="Sadrajitablice"/>
                    <w:snapToGrid w:val="0"/>
                  </w:pPr>
                  <w:r w:rsidRPr="001053F5">
                    <w:t>11</w:t>
                  </w:r>
                </w:p>
              </w:tc>
              <w:tc>
                <w:tcPr>
                  <w:tcW w:w="3843" w:type="dxa"/>
                  <w:shd w:val="clear" w:color="auto" w:fill="FFFFFF"/>
                </w:tcPr>
                <w:p w:rsidR="008454EC" w:rsidRPr="001053F5" w:rsidRDefault="008454EC">
                  <w:pPr>
                    <w:pStyle w:val="Sadrajitablice"/>
                    <w:snapToGrid w:val="0"/>
                  </w:pPr>
                  <w:r w:rsidRPr="001053F5">
                    <w:t>Auto gume</w:t>
                  </w:r>
                </w:p>
              </w:tc>
              <w:tc>
                <w:tcPr>
                  <w:tcW w:w="2227" w:type="dxa"/>
                  <w:shd w:val="clear" w:color="auto" w:fill="auto"/>
                </w:tcPr>
                <w:p w:rsidR="008454EC" w:rsidRPr="00B935D4" w:rsidRDefault="00E25DD6">
                  <w:pPr>
                    <w:pStyle w:val="Sadrajitablice"/>
                    <w:snapToGrid w:val="0"/>
                    <w:jc w:val="right"/>
                  </w:pPr>
                  <w:r>
                    <w:t>18</w:t>
                  </w:r>
                  <w:r w:rsidR="004D5B57">
                    <w:t>,9</w:t>
                  </w:r>
                  <w:r w:rsidR="00B935D4">
                    <w:t>8</w:t>
                  </w:r>
                </w:p>
              </w:tc>
              <w:tc>
                <w:tcPr>
                  <w:tcW w:w="2235" w:type="dxa"/>
                  <w:shd w:val="clear" w:color="auto" w:fill="auto"/>
                </w:tcPr>
                <w:p w:rsidR="008454EC" w:rsidRPr="00926C07" w:rsidRDefault="00926C07">
                  <w:pPr>
                    <w:pStyle w:val="Sadrajitablice"/>
                    <w:snapToGrid w:val="0"/>
                    <w:jc w:val="right"/>
                    <w:rPr>
                      <w:highlight w:val="yellow"/>
                    </w:rPr>
                  </w:pPr>
                  <w:r w:rsidRPr="00926C07">
                    <w:t>2</w:t>
                  </w:r>
                  <w:r w:rsidR="00B935D4" w:rsidRPr="00926C07">
                    <w:t>,</w:t>
                  </w:r>
                  <w:r w:rsidRPr="00926C07">
                    <w:t>47</w:t>
                  </w:r>
                </w:p>
              </w:tc>
            </w:tr>
            <w:tr w:rsidR="00921E79" w:rsidTr="002345BB">
              <w:tc>
                <w:tcPr>
                  <w:tcW w:w="611" w:type="dxa"/>
                  <w:shd w:val="clear" w:color="auto" w:fill="FFFFFF"/>
                </w:tcPr>
                <w:p w:rsidR="008454EC" w:rsidRPr="001053F5" w:rsidRDefault="008A317E" w:rsidP="002345BB">
                  <w:pPr>
                    <w:pStyle w:val="Sadrajitablice"/>
                    <w:snapToGrid w:val="0"/>
                  </w:pPr>
                  <w:r w:rsidRPr="001053F5">
                    <w:t>12</w:t>
                  </w:r>
                </w:p>
              </w:tc>
              <w:tc>
                <w:tcPr>
                  <w:tcW w:w="3843" w:type="dxa"/>
                  <w:shd w:val="clear" w:color="auto" w:fill="FFFFFF"/>
                </w:tcPr>
                <w:p w:rsidR="008454EC" w:rsidRPr="001053F5" w:rsidRDefault="008454EC" w:rsidP="002345BB">
                  <w:pPr>
                    <w:pStyle w:val="Sadrajitablice"/>
                    <w:snapToGrid w:val="0"/>
                  </w:pPr>
                  <w:r w:rsidRPr="001053F5">
                    <w:t>Pokrovni  materijal</w:t>
                  </w:r>
                </w:p>
              </w:tc>
              <w:tc>
                <w:tcPr>
                  <w:tcW w:w="2227" w:type="dxa"/>
                  <w:shd w:val="clear" w:color="auto" w:fill="auto"/>
                </w:tcPr>
                <w:p w:rsidR="008454EC" w:rsidRPr="00B935D4" w:rsidRDefault="00E25DD6" w:rsidP="002345BB">
                  <w:pPr>
                    <w:pStyle w:val="Sadrajitablice"/>
                    <w:snapToGrid w:val="0"/>
                    <w:jc w:val="right"/>
                  </w:pPr>
                  <w:r>
                    <w:t>6.289</w:t>
                  </w:r>
                  <w:r w:rsidR="0079300B" w:rsidRPr="00B935D4">
                    <w:t>,</w:t>
                  </w:r>
                  <w:r>
                    <w:t>86</w:t>
                  </w:r>
                </w:p>
              </w:tc>
              <w:tc>
                <w:tcPr>
                  <w:tcW w:w="2235" w:type="dxa"/>
                  <w:shd w:val="clear" w:color="auto" w:fill="auto"/>
                </w:tcPr>
                <w:p w:rsidR="008454EC" w:rsidRPr="002345BB" w:rsidRDefault="00926C07" w:rsidP="002345BB">
                  <w:pPr>
                    <w:pStyle w:val="Sadrajitablice"/>
                    <w:snapToGrid w:val="0"/>
                    <w:jc w:val="right"/>
                    <w:rPr>
                      <w:highlight w:val="yellow"/>
                    </w:rPr>
                  </w:pPr>
                  <w:r w:rsidRPr="00926C07">
                    <w:t>817</w:t>
                  </w:r>
                  <w:r w:rsidR="0093517C" w:rsidRPr="00926C07">
                    <w:t>,</w:t>
                  </w:r>
                  <w:r w:rsidRPr="00926C07">
                    <w:t>68</w:t>
                  </w:r>
                </w:p>
              </w:tc>
            </w:tr>
            <w:tr w:rsidR="00921E79" w:rsidTr="001053F5">
              <w:tc>
                <w:tcPr>
                  <w:tcW w:w="611" w:type="dxa"/>
                  <w:shd w:val="clear" w:color="auto" w:fill="FFFFFF"/>
                </w:tcPr>
                <w:p w:rsidR="008454EC" w:rsidRPr="001053F5" w:rsidRDefault="008A317E">
                  <w:pPr>
                    <w:pStyle w:val="Sadrajitablice"/>
                    <w:snapToGrid w:val="0"/>
                  </w:pPr>
                  <w:r w:rsidRPr="001053F5">
                    <w:t>13</w:t>
                  </w:r>
                </w:p>
                <w:p w:rsidR="008A317E" w:rsidRPr="001053F5" w:rsidRDefault="008A317E">
                  <w:pPr>
                    <w:pStyle w:val="Sadrajitablice"/>
                    <w:snapToGrid w:val="0"/>
                  </w:pPr>
                  <w:r w:rsidRPr="001053F5">
                    <w:t>14</w:t>
                  </w:r>
                </w:p>
              </w:tc>
              <w:tc>
                <w:tcPr>
                  <w:tcW w:w="3843" w:type="dxa"/>
                  <w:shd w:val="clear" w:color="auto" w:fill="FFFFFF"/>
                </w:tcPr>
                <w:p w:rsidR="008454EC" w:rsidRPr="001053F5" w:rsidRDefault="008A317E">
                  <w:pPr>
                    <w:pStyle w:val="Sadrajitablice"/>
                    <w:snapToGrid w:val="0"/>
                    <w:rPr>
                      <w:b/>
                      <w:bCs/>
                    </w:rPr>
                  </w:pPr>
                  <w:r w:rsidRPr="001053F5">
                    <w:t>Otkup metala POSAM</w:t>
                  </w:r>
                </w:p>
                <w:p w:rsidR="008454EC" w:rsidRPr="001053F5" w:rsidRDefault="008A317E">
                  <w:pPr>
                    <w:pStyle w:val="Sadrajitablice"/>
                    <w:snapToGrid w:val="0"/>
                    <w:rPr>
                      <w:b/>
                      <w:bCs/>
                    </w:rPr>
                  </w:pPr>
                  <w:r w:rsidRPr="001053F5">
                    <w:t>Tekstil</w:t>
                  </w:r>
                </w:p>
              </w:tc>
              <w:tc>
                <w:tcPr>
                  <w:tcW w:w="2227" w:type="dxa"/>
                  <w:shd w:val="clear" w:color="auto" w:fill="auto"/>
                </w:tcPr>
                <w:p w:rsidR="008454EC" w:rsidRPr="00B935D4" w:rsidRDefault="00E25DD6" w:rsidP="008A1F8C">
                  <w:pPr>
                    <w:pStyle w:val="Sadrajitablice"/>
                    <w:snapToGrid w:val="0"/>
                    <w:jc w:val="right"/>
                  </w:pPr>
                  <w:r>
                    <w:t>625</w:t>
                  </w:r>
                  <w:r w:rsidR="00B935D4">
                    <w:t>,00</w:t>
                  </w:r>
                </w:p>
                <w:p w:rsidR="008A317E" w:rsidRPr="00B935D4" w:rsidRDefault="00E25DD6" w:rsidP="008A1F8C">
                  <w:pPr>
                    <w:pStyle w:val="Sadrajitablice"/>
                    <w:snapToGrid w:val="0"/>
                    <w:jc w:val="right"/>
                    <w:rPr>
                      <w:b/>
                      <w:bCs/>
                    </w:rPr>
                  </w:pPr>
                  <w:r>
                    <w:t>16,0</w:t>
                  </w:r>
                  <w:r w:rsidR="008A317E" w:rsidRPr="00B935D4">
                    <w:t>0</w:t>
                  </w:r>
                </w:p>
              </w:tc>
              <w:tc>
                <w:tcPr>
                  <w:tcW w:w="2235" w:type="dxa"/>
                  <w:shd w:val="clear" w:color="auto" w:fill="auto"/>
                </w:tcPr>
                <w:p w:rsidR="008454EC" w:rsidRPr="00926C07" w:rsidRDefault="00926C07" w:rsidP="008A1F8C">
                  <w:pPr>
                    <w:pStyle w:val="Sadrajitablice"/>
                    <w:snapToGrid w:val="0"/>
                    <w:jc w:val="right"/>
                  </w:pPr>
                  <w:r w:rsidRPr="00926C07">
                    <w:t>81,25</w:t>
                  </w:r>
                </w:p>
                <w:p w:rsidR="008A317E" w:rsidRPr="00926C07" w:rsidRDefault="00926C07" w:rsidP="008A1F8C">
                  <w:pPr>
                    <w:pStyle w:val="Sadrajitablice"/>
                    <w:snapToGrid w:val="0"/>
                    <w:jc w:val="right"/>
                    <w:rPr>
                      <w:b/>
                      <w:bCs/>
                      <w:highlight w:val="yellow"/>
                    </w:rPr>
                  </w:pPr>
                  <w:r w:rsidRPr="00926C07">
                    <w:t>2,0</w:t>
                  </w:r>
                  <w:r w:rsidR="002069F3" w:rsidRPr="00926C07">
                    <w:t>8</w:t>
                  </w:r>
                </w:p>
              </w:tc>
            </w:tr>
            <w:tr w:rsidR="00921E79" w:rsidTr="002345BB">
              <w:tc>
                <w:tcPr>
                  <w:tcW w:w="611" w:type="dxa"/>
                  <w:shd w:val="clear" w:color="auto" w:fill="FFFFFF"/>
                </w:tcPr>
                <w:p w:rsidR="008454EC" w:rsidRPr="001053F5" w:rsidRDefault="008454EC" w:rsidP="002345BB">
                  <w:pPr>
                    <w:pStyle w:val="Sadrajitablice"/>
                    <w:snapToGrid w:val="0"/>
                  </w:pPr>
                </w:p>
              </w:tc>
              <w:tc>
                <w:tcPr>
                  <w:tcW w:w="3843" w:type="dxa"/>
                  <w:shd w:val="clear" w:color="auto" w:fill="FFFFFF"/>
                </w:tcPr>
                <w:p w:rsidR="008454EC" w:rsidRPr="001053F5" w:rsidRDefault="008454EC" w:rsidP="002345BB">
                  <w:pPr>
                    <w:pStyle w:val="Sadrajitablice"/>
                    <w:snapToGrid w:val="0"/>
                  </w:pPr>
                </w:p>
              </w:tc>
              <w:tc>
                <w:tcPr>
                  <w:tcW w:w="2227" w:type="dxa"/>
                  <w:shd w:val="clear" w:color="auto" w:fill="auto"/>
                </w:tcPr>
                <w:p w:rsidR="008454EC" w:rsidRPr="00B935D4" w:rsidRDefault="008454EC" w:rsidP="002345BB">
                  <w:pPr>
                    <w:pStyle w:val="Sadrajitablice"/>
                    <w:snapToGrid w:val="0"/>
                    <w:jc w:val="right"/>
                  </w:pPr>
                </w:p>
              </w:tc>
              <w:tc>
                <w:tcPr>
                  <w:tcW w:w="2235" w:type="dxa"/>
                  <w:shd w:val="clear" w:color="auto" w:fill="auto"/>
                </w:tcPr>
                <w:p w:rsidR="008454EC" w:rsidRPr="002345BB" w:rsidRDefault="008454EC" w:rsidP="002345BB">
                  <w:pPr>
                    <w:pStyle w:val="Sadrajitablice"/>
                    <w:snapToGrid w:val="0"/>
                    <w:jc w:val="right"/>
                    <w:rPr>
                      <w:highlight w:val="yellow"/>
                    </w:rPr>
                  </w:pPr>
                </w:p>
              </w:tc>
            </w:tr>
            <w:tr w:rsidR="00921E79" w:rsidTr="001053F5">
              <w:tc>
                <w:tcPr>
                  <w:tcW w:w="611" w:type="dxa"/>
                  <w:shd w:val="clear" w:color="auto" w:fill="FFFFFF"/>
                </w:tcPr>
                <w:p w:rsidR="0079300B" w:rsidRPr="001053F5" w:rsidRDefault="0079300B">
                  <w:pPr>
                    <w:pStyle w:val="Sadrajitablice"/>
                    <w:snapToGrid w:val="0"/>
                  </w:pPr>
                </w:p>
              </w:tc>
              <w:tc>
                <w:tcPr>
                  <w:tcW w:w="3843" w:type="dxa"/>
                  <w:shd w:val="clear" w:color="auto" w:fill="FFFFFF"/>
                </w:tcPr>
                <w:p w:rsidR="0079300B" w:rsidRPr="001053F5" w:rsidRDefault="008A317E">
                  <w:pPr>
                    <w:pStyle w:val="Sadrajitablice"/>
                    <w:snapToGrid w:val="0"/>
                    <w:rPr>
                      <w:b/>
                    </w:rPr>
                  </w:pPr>
                  <w:r w:rsidRPr="001053F5">
                    <w:rPr>
                      <w:b/>
                    </w:rPr>
                    <w:t>UKUPNO</w:t>
                  </w:r>
                </w:p>
              </w:tc>
              <w:tc>
                <w:tcPr>
                  <w:tcW w:w="2227" w:type="dxa"/>
                  <w:shd w:val="clear" w:color="auto" w:fill="auto"/>
                </w:tcPr>
                <w:p w:rsidR="0079300B" w:rsidRPr="004D5B57" w:rsidRDefault="00926C07">
                  <w:pPr>
                    <w:pStyle w:val="Sadrajitablice"/>
                    <w:snapToGrid w:val="0"/>
                    <w:jc w:val="right"/>
                    <w:rPr>
                      <w:b/>
                    </w:rPr>
                  </w:pPr>
                  <w:r>
                    <w:rPr>
                      <w:b/>
                    </w:rPr>
                    <w:t>27.528</w:t>
                  </w:r>
                  <w:r w:rsidR="0061306D" w:rsidRPr="004D5B57">
                    <w:rPr>
                      <w:b/>
                    </w:rPr>
                    <w:t>,</w:t>
                  </w:r>
                  <w:r>
                    <w:rPr>
                      <w:b/>
                    </w:rPr>
                    <w:t>28</w:t>
                  </w:r>
                </w:p>
              </w:tc>
              <w:tc>
                <w:tcPr>
                  <w:tcW w:w="2235" w:type="dxa"/>
                  <w:shd w:val="clear" w:color="auto" w:fill="auto"/>
                </w:tcPr>
                <w:p w:rsidR="0079300B" w:rsidRPr="00AA137F" w:rsidRDefault="0061306D">
                  <w:pPr>
                    <w:pStyle w:val="Sadrajitablice"/>
                    <w:snapToGrid w:val="0"/>
                    <w:jc w:val="right"/>
                    <w:rPr>
                      <w:b/>
                      <w:highlight w:val="yellow"/>
                    </w:rPr>
                  </w:pPr>
                  <w:r w:rsidRPr="00AA137F">
                    <w:rPr>
                      <w:b/>
                    </w:rPr>
                    <w:t>3</w:t>
                  </w:r>
                  <w:r w:rsidR="00926C07">
                    <w:rPr>
                      <w:b/>
                    </w:rPr>
                    <w:t>.578</w:t>
                  </w:r>
                  <w:r w:rsidRPr="00AA137F">
                    <w:rPr>
                      <w:b/>
                    </w:rPr>
                    <w:t>,</w:t>
                  </w:r>
                  <w:r w:rsidR="00926C07">
                    <w:rPr>
                      <w:b/>
                    </w:rPr>
                    <w:t>68</w:t>
                  </w:r>
                </w:p>
              </w:tc>
            </w:tr>
          </w:tbl>
          <w:p w:rsidR="008454EC" w:rsidRDefault="008454EC">
            <w:pPr>
              <w:pStyle w:val="Sadrajitablice"/>
              <w:spacing w:after="283"/>
              <w:jc w:val="both"/>
            </w:pPr>
          </w:p>
          <w:p w:rsidR="008454EC" w:rsidRPr="00810AE6" w:rsidRDefault="008454EC">
            <w:pPr>
              <w:pStyle w:val="Sadrajitablice"/>
              <w:spacing w:after="283"/>
              <w:jc w:val="both"/>
            </w:pPr>
            <w:r w:rsidRPr="00810AE6">
              <w:t>Skupljanje i odvoz komunalnog otpada s podr</w:t>
            </w:r>
            <w:r w:rsidR="001A228F" w:rsidRPr="00810AE6">
              <w:t>učja Općine Punat provodi se</w:t>
            </w:r>
            <w:r w:rsidRPr="00810AE6">
              <w:t xml:space="preserve"> zimi 2 puta tjedno za pražnjenje posuda žute, sive, smeđe i plave boje odnosno za odvoz plastike, papira, metala, stakla i bio otpada. Svaki drugi dan prazni se zeleni kontejner. Tijekom ljetnih mjeseci dinamika pražnjenja posuda je slijedeća, svaki dan prazni se zeleni kontejner sa mješanim otpadom, dok se ostali kontejneri prazne svaki drugi dan, a po potrebi i pozivu svaki dan.</w:t>
            </w:r>
          </w:p>
          <w:p w:rsidR="008454EC" w:rsidRDefault="008454EC">
            <w:pPr>
              <w:pStyle w:val="Sadrajitablice"/>
              <w:spacing w:after="283"/>
            </w:pPr>
            <w:r>
              <w:t xml:space="preserve">    b) glomazni i opasni otpad iz kućanstava</w:t>
            </w:r>
          </w:p>
          <w:p w:rsidR="008454EC" w:rsidRDefault="008454EC">
            <w:pPr>
              <w:pStyle w:val="Sadrajitablice"/>
              <w:spacing w:after="283"/>
              <w:jc w:val="both"/>
            </w:pPr>
            <w:r>
              <w:t>Skupljanje i odvoz glomaznog otpada iz kućanstava, a također i opasnog otpada obavlja se na posebnom sabirnom mjestu – POSAM.  Loka</w:t>
            </w:r>
            <w:r w:rsidR="00F05467">
              <w:t>cija POSAM-a u Općini Pun</w:t>
            </w:r>
            <w:r w:rsidR="00120E85">
              <w:t>at je na</w:t>
            </w:r>
            <w:r>
              <w:t xml:space="preserve"> Kandiji, neposredno uz cestu prema plaž</w:t>
            </w:r>
            <w:r w:rsidR="008D7272">
              <w:t>i Punta debij</w:t>
            </w:r>
            <w:r w:rsidR="00F05467">
              <w:t>. Također i u 201</w:t>
            </w:r>
            <w:r w:rsidR="0026511C">
              <w:t>6</w:t>
            </w:r>
            <w:r>
              <w:t>. građani su mogli jednom u tijeku godine zatražiti dovoz baje na svoju okućnicu ili na neku obližnju površinu radi skupljanja i odvoza glomaznog otpada iz kućanstva. Ova se usluga nije naplaćivala kao posebna usluga.</w:t>
            </w:r>
          </w:p>
          <w:p w:rsidR="008454EC" w:rsidRDefault="008454EC">
            <w:pPr>
              <w:pStyle w:val="Sadrajitablice"/>
              <w:spacing w:after="283"/>
            </w:pPr>
            <w:r>
              <w:t>Vrste otpada koji se odlaže na POSAM-u:</w:t>
            </w:r>
          </w:p>
          <w:p w:rsidR="008454EC" w:rsidRDefault="008454EC">
            <w:pPr>
              <w:pStyle w:val="Sadrajitablice"/>
              <w:numPr>
                <w:ilvl w:val="0"/>
                <w:numId w:val="1"/>
              </w:numPr>
              <w:spacing w:after="283"/>
            </w:pPr>
            <w:r>
              <w:t>zeleni otpad, pokošena trava, korov, granje</w:t>
            </w:r>
          </w:p>
          <w:p w:rsidR="008454EC" w:rsidRDefault="008454EC">
            <w:pPr>
              <w:pStyle w:val="Sadrajitablice"/>
              <w:numPr>
                <w:ilvl w:val="0"/>
                <w:numId w:val="1"/>
              </w:numPr>
              <w:spacing w:after="283"/>
            </w:pPr>
            <w:r>
              <w:t>stari namještaj, madraci</w:t>
            </w:r>
          </w:p>
          <w:p w:rsidR="008454EC" w:rsidRDefault="008454EC">
            <w:pPr>
              <w:pStyle w:val="Sadrajitablice"/>
              <w:numPr>
                <w:ilvl w:val="0"/>
                <w:numId w:val="1"/>
              </w:numPr>
              <w:spacing w:after="283"/>
            </w:pPr>
            <w:r>
              <w:t>bijela tehnika i metalni otpad</w:t>
            </w:r>
          </w:p>
          <w:p w:rsidR="008454EC" w:rsidRDefault="008454EC">
            <w:pPr>
              <w:pStyle w:val="Sadrajitablice"/>
              <w:numPr>
                <w:ilvl w:val="0"/>
                <w:numId w:val="1"/>
              </w:numPr>
              <w:spacing w:after="283"/>
            </w:pPr>
            <w:r>
              <w:t>automobilske gume</w:t>
            </w:r>
          </w:p>
          <w:p w:rsidR="008454EC" w:rsidRDefault="008454EC">
            <w:pPr>
              <w:pStyle w:val="Sadrajitablice"/>
              <w:numPr>
                <w:ilvl w:val="0"/>
                <w:numId w:val="1"/>
              </w:numPr>
              <w:spacing w:after="283"/>
            </w:pPr>
            <w:r>
              <w:t>karton, papir, novine i sl.</w:t>
            </w:r>
          </w:p>
          <w:p w:rsidR="008454EC" w:rsidRDefault="005C6716">
            <w:pPr>
              <w:pStyle w:val="Sadrajitablice"/>
              <w:numPr>
                <w:ilvl w:val="0"/>
                <w:numId w:val="1"/>
              </w:numPr>
              <w:spacing w:after="283"/>
            </w:pPr>
            <w:r>
              <w:t>p</w:t>
            </w:r>
            <w:r w:rsidR="008454EC">
              <w:t>lastični otpad, folije i sl.</w:t>
            </w:r>
          </w:p>
          <w:p w:rsidR="008454EC" w:rsidRDefault="005C6716">
            <w:pPr>
              <w:pStyle w:val="Sadrajitablice"/>
              <w:numPr>
                <w:ilvl w:val="0"/>
                <w:numId w:val="1"/>
              </w:numPr>
              <w:spacing w:after="283"/>
            </w:pPr>
            <w:r>
              <w:t>l</w:t>
            </w:r>
            <w:r w:rsidR="008454EC">
              <w:t>omljeno staklo</w:t>
            </w:r>
          </w:p>
          <w:p w:rsidR="008454EC" w:rsidRDefault="008454EC">
            <w:pPr>
              <w:pStyle w:val="Sadrajitablice"/>
              <w:numPr>
                <w:ilvl w:val="0"/>
                <w:numId w:val="1"/>
              </w:numPr>
              <w:spacing w:after="283"/>
            </w:pPr>
            <w:r>
              <w:t>elektronski otpad, CD, video i audio kazete, diskete, toneri</w:t>
            </w:r>
          </w:p>
          <w:p w:rsidR="008454EC" w:rsidRDefault="008454EC">
            <w:pPr>
              <w:pStyle w:val="Sadrajitablice"/>
              <w:numPr>
                <w:ilvl w:val="0"/>
                <w:numId w:val="1"/>
              </w:numPr>
              <w:spacing w:after="283"/>
              <w:jc w:val="both"/>
            </w:pPr>
            <w:r>
              <w:t>opasni otpad (boje, lakovi, sprej doze, ostaci kemikalija, herbicidi, insekticidi i sl., istrošene fluorescentne cijevi i štedljive žarulje, istrošeni akumulatori i baterije, stari lijekovi)</w:t>
            </w:r>
          </w:p>
          <w:p w:rsidR="008454EC" w:rsidRDefault="008454EC">
            <w:pPr>
              <w:pStyle w:val="Sadrajitablice"/>
              <w:spacing w:after="283"/>
            </w:pPr>
            <w:r>
              <w:lastRenderedPageBreak/>
              <w:t>Na POSAM-u se također obavlja i usluga preuzimanja ambalaže. Za zaprimljenu ambalažu izdaje se potvrda koja se realizira na svim prodajnim  mjestima Trgovine Krk ili Kvarnera-Punat.</w:t>
            </w:r>
          </w:p>
          <w:p w:rsidR="008454EC" w:rsidRPr="0061455C" w:rsidRDefault="008454EC">
            <w:pPr>
              <w:pStyle w:val="Sadrajitablice"/>
              <w:spacing w:after="283"/>
            </w:pPr>
            <w:r w:rsidRPr="0061455C">
              <w:t xml:space="preserve">    c) električni i elektronički otpad (EE otpad)</w:t>
            </w:r>
          </w:p>
          <w:p w:rsidR="008454EC" w:rsidRPr="0061455C" w:rsidRDefault="008454EC">
            <w:pPr>
              <w:pStyle w:val="Sadrajitablice"/>
              <w:spacing w:after="283"/>
            </w:pPr>
            <w:r w:rsidRPr="0061455C">
              <w:t>Od ovlaštenika za skupljanje EE otpada za područje Općine Punat dobive</w:t>
            </w:r>
            <w:r w:rsidR="0061455C" w:rsidRPr="0061455C">
              <w:t>n je podatak da je u tijeku 201</w:t>
            </w:r>
            <w:r w:rsidR="0026511C">
              <w:t>6</w:t>
            </w:r>
            <w:r w:rsidRPr="0061455C">
              <w:t xml:space="preserve">. godine </w:t>
            </w:r>
            <w:r w:rsidRPr="004F1757">
              <w:t xml:space="preserve">bilo </w:t>
            </w:r>
            <w:r w:rsidR="008D56DC" w:rsidRPr="008D56DC">
              <w:t>85</w:t>
            </w:r>
            <w:r w:rsidRPr="008D56DC">
              <w:t xml:space="preserve"> poziva za odvoz ove vrste otpada. Ukupno</w:t>
            </w:r>
            <w:r w:rsidR="00430718" w:rsidRPr="008D56DC">
              <w:t xml:space="preserve"> je prikupljeno i zbrinuto </w:t>
            </w:r>
            <w:r w:rsidR="008D56DC" w:rsidRPr="008D56DC">
              <w:t>15.445</w:t>
            </w:r>
            <w:r w:rsidRPr="008D56DC">
              <w:t xml:space="preserve"> kg EE otpada</w:t>
            </w:r>
            <w:r w:rsidR="0061455C" w:rsidRPr="004F1757">
              <w:t>.</w:t>
            </w:r>
          </w:p>
          <w:p w:rsidR="008454EC" w:rsidRPr="0061455C" w:rsidRDefault="008454EC">
            <w:pPr>
              <w:pStyle w:val="Sadrajitablice"/>
              <w:spacing w:after="283"/>
            </w:pPr>
            <w:r w:rsidRPr="0061455C">
              <w:t xml:space="preserve">   d) građevinski otpad</w:t>
            </w:r>
          </w:p>
          <w:p w:rsidR="008454EC" w:rsidRPr="0061455C" w:rsidRDefault="008454EC">
            <w:pPr>
              <w:pStyle w:val="Sadrajitablice"/>
              <w:spacing w:after="283"/>
            </w:pPr>
            <w:r w:rsidRPr="0061455C">
              <w:t>Građevinski otpad odlaže se na lokalitetu nedaleko Lovačkog doma. Brigu i nadzor nad odlaganjem građevinskog otpad</w:t>
            </w:r>
            <w:r w:rsidR="00362DE7">
              <w:t>a vodi KD "Črnika" Punat. U 201</w:t>
            </w:r>
            <w:r w:rsidR="0026511C">
              <w:t>6</w:t>
            </w:r>
            <w:r w:rsidRPr="0061455C">
              <w:t xml:space="preserve">. godini, Općina je za deponiju izdvojila ukupno </w:t>
            </w:r>
            <w:r w:rsidR="0026511C">
              <w:t>84.400,0</w:t>
            </w:r>
            <w:r w:rsidR="00856BCE" w:rsidRPr="00B81A4B">
              <w:t xml:space="preserve">0 </w:t>
            </w:r>
            <w:r w:rsidRPr="00B81A4B">
              <w:t>kuna.</w:t>
            </w:r>
          </w:p>
          <w:p w:rsidR="008454EC" w:rsidRPr="0061455C" w:rsidRDefault="008454EC">
            <w:pPr>
              <w:pStyle w:val="Sadrajitablice"/>
              <w:spacing w:after="283"/>
            </w:pPr>
            <w:r w:rsidRPr="0061455C">
              <w:t>Prošle godine deponiran je građevinski materijal sa:</w:t>
            </w:r>
          </w:p>
          <w:p w:rsidR="008454EC" w:rsidRPr="007E7D32" w:rsidRDefault="007E7D32">
            <w:pPr>
              <w:pStyle w:val="Sadrajitablice"/>
              <w:numPr>
                <w:ilvl w:val="0"/>
                <w:numId w:val="2"/>
              </w:numPr>
              <w:spacing w:after="283"/>
            </w:pPr>
            <w:r w:rsidRPr="007E7D32">
              <w:t>621</w:t>
            </w:r>
            <w:r w:rsidR="008454EC" w:rsidRPr="007E7D32">
              <w:t xml:space="preserve"> velika kamiona (veća od 2t nosivosti)</w:t>
            </w:r>
          </w:p>
          <w:p w:rsidR="008454EC" w:rsidRPr="007E7D32" w:rsidRDefault="007E7D32">
            <w:pPr>
              <w:pStyle w:val="Sadrajitablice"/>
              <w:numPr>
                <w:ilvl w:val="0"/>
                <w:numId w:val="2"/>
              </w:numPr>
              <w:spacing w:after="283"/>
            </w:pPr>
            <w:r w:rsidRPr="007E7D32">
              <w:t>184</w:t>
            </w:r>
            <w:r w:rsidR="008454EC" w:rsidRPr="007E7D32">
              <w:t xml:space="preserve"> mala kamiona (do 2t)</w:t>
            </w:r>
          </w:p>
          <w:p w:rsidR="008454EC" w:rsidRPr="007E7D32" w:rsidRDefault="007E7D32">
            <w:pPr>
              <w:pStyle w:val="Sadrajitablice"/>
              <w:numPr>
                <w:ilvl w:val="0"/>
                <w:numId w:val="2"/>
              </w:numPr>
              <w:spacing w:after="283"/>
            </w:pPr>
            <w:r w:rsidRPr="007E7D32">
              <w:t>223</w:t>
            </w:r>
            <w:r w:rsidR="008454EC" w:rsidRPr="007E7D32">
              <w:t xml:space="preserve"> autoprikolica/traktorskih prikolica</w:t>
            </w:r>
          </w:p>
          <w:p w:rsidR="008454EC" w:rsidRDefault="008454EC">
            <w:pPr>
              <w:pStyle w:val="Sadrajitablice"/>
              <w:spacing w:after="283"/>
            </w:pPr>
            <w:r>
              <w:t xml:space="preserve">  e) opasni proizvodni otpad te otpad koji sadrži azbest</w:t>
            </w:r>
          </w:p>
          <w:p w:rsidR="008454EC" w:rsidRDefault="008454EC">
            <w:pPr>
              <w:pStyle w:val="Sadrajitablice"/>
              <w:spacing w:after="283"/>
              <w:jc w:val="both"/>
            </w:pPr>
            <w:r>
              <w:t>Gospodarski subjekti na području Općine Punat poput Hoteli Punat d.d., Marina Punat, Brodogradilište Punat</w:t>
            </w:r>
            <w:r w:rsidR="00F05467">
              <w:t>, obrta-tokarskih radnji i dr. s</w:t>
            </w:r>
            <w:r>
              <w:t>tvaraju i određene količine opasnog otpada. Taj se otpad zbrinjava na odgovarajući i adekvatan način putem komunalnog društva "Ponikve</w:t>
            </w:r>
            <w:r w:rsidR="00D20B87">
              <w:t xml:space="preserve"> eko otok Krk</w:t>
            </w:r>
            <w:r>
              <w:t>"</w:t>
            </w:r>
            <w:r w:rsidR="00D20B87">
              <w:t xml:space="preserve"> d.o.o.</w:t>
            </w:r>
            <w:r>
              <w:t xml:space="preserve"> Krk te putem drugih ovlaštenih koncesionara za skupljanje te vrste otpada.</w:t>
            </w:r>
          </w:p>
          <w:p w:rsidR="008454EC" w:rsidRDefault="0026511C">
            <w:pPr>
              <w:pStyle w:val="Sadrajitablice"/>
              <w:spacing w:after="283"/>
              <w:jc w:val="both"/>
            </w:pPr>
            <w:r>
              <w:t>U tijeku 2016</w:t>
            </w:r>
            <w:r w:rsidR="008454EC">
              <w:t>. nastavljene su aktivnosti na zamjeni azbestnih (salonitnih) krovova. Zbrinjavanje azbestnog otpada za područje Primorsko-goranske županije obavljaju ovlašteni koncesiorari koji sa Fondom za zaštitu okoliša i energetsku učinkovitost imaju potpisane ugovore. Općina Punat pružala je pomoć oko upućivanja korisnika</w:t>
            </w:r>
            <w:r w:rsidR="00422D49">
              <w:t xml:space="preserve"> </w:t>
            </w:r>
            <w:r w:rsidR="008454EC">
              <w:t>-</w:t>
            </w:r>
            <w:r w:rsidR="00422D49">
              <w:t xml:space="preserve"> </w:t>
            </w:r>
            <w:r w:rsidR="008454EC">
              <w:t xml:space="preserve">vlasnika azbestnih ploča do ovlaštenih koncesionara. Vlasnici objekata sa azbestnim krovovima inicirali su i osnovali udrugu "Moj otok" u cilju okrupnjavanja nabave i poslova te time smanjili cijenu nabave materijala i rada. </w:t>
            </w:r>
          </w:p>
          <w:p w:rsidR="008454EC" w:rsidRDefault="008454EC">
            <w:pPr>
              <w:pStyle w:val="Sadrajitablice"/>
              <w:spacing w:after="283"/>
              <w:jc w:val="both"/>
            </w:pPr>
            <w:r>
              <w:t xml:space="preserve">    f) Medicinski otpad </w:t>
            </w:r>
          </w:p>
          <w:p w:rsidR="008454EC" w:rsidRPr="0026511C" w:rsidRDefault="008454EC">
            <w:pPr>
              <w:pStyle w:val="Sadrajitablice"/>
              <w:spacing w:after="283"/>
              <w:jc w:val="both"/>
              <w:rPr>
                <w:color w:val="FF0000"/>
              </w:rPr>
            </w:pPr>
            <w:r w:rsidRPr="00CC136F">
              <w:t xml:space="preserve">U Puntu djeluju tri </w:t>
            </w:r>
            <w:r w:rsidR="00FB0E15" w:rsidRPr="00CC136F">
              <w:t>ordinacije</w:t>
            </w:r>
            <w:r w:rsidRPr="00CC136F">
              <w:t xml:space="preserve"> (dvije stomatološke i jedna opća). Otpad koji nastaje u ovoj djelatnosti odvozi</w:t>
            </w:r>
            <w:r w:rsidR="00AF2B06" w:rsidRPr="00CC136F">
              <w:t xml:space="preserve"> i zbrinjava tvrtka Eco Casa</w:t>
            </w:r>
            <w:r w:rsidRPr="00CC136F">
              <w:t xml:space="preserve"> d.o.o.</w:t>
            </w:r>
            <w:r w:rsidR="00422D49" w:rsidRPr="00CC136F">
              <w:t xml:space="preserve"> </w:t>
            </w:r>
            <w:r w:rsidR="005C6716" w:rsidRPr="00CC136F">
              <w:t>–</w:t>
            </w:r>
            <w:r w:rsidR="00422D49" w:rsidRPr="00CC136F">
              <w:t xml:space="preserve"> </w:t>
            </w:r>
            <w:r w:rsidR="00AF2B06" w:rsidRPr="00CC136F">
              <w:t>Matulji</w:t>
            </w:r>
            <w:r w:rsidR="005C6716" w:rsidRPr="00CC136F">
              <w:t>,</w:t>
            </w:r>
            <w:r w:rsidR="00FB0E15" w:rsidRPr="00CC136F">
              <w:t xml:space="preserve"> Ekoplanet d.o</w:t>
            </w:r>
            <w:r w:rsidR="00362DE7" w:rsidRPr="00CC136F">
              <w:t>.o. Pula</w:t>
            </w:r>
            <w:r w:rsidR="005C6716" w:rsidRPr="00CC136F">
              <w:t xml:space="preserve"> i Remondis Medison d.o.o. iz Draganića</w:t>
            </w:r>
            <w:r w:rsidR="00AF2B06" w:rsidRPr="00CC136F">
              <w:t>. Ukupno je tijekom 2016</w:t>
            </w:r>
            <w:r w:rsidR="00FB0E15" w:rsidRPr="00CC136F">
              <w:t xml:space="preserve">. godine </w:t>
            </w:r>
            <w:r w:rsidR="00FB0E15" w:rsidRPr="00477FA0">
              <w:t xml:space="preserve">zbrinuto </w:t>
            </w:r>
            <w:r w:rsidR="00477FA0" w:rsidRPr="00477FA0">
              <w:t>93</w:t>
            </w:r>
            <w:r w:rsidR="004F1757" w:rsidRPr="00477FA0">
              <w:t>,3</w:t>
            </w:r>
            <w:r w:rsidR="005113B5" w:rsidRPr="00477FA0">
              <w:t>0</w:t>
            </w:r>
            <w:r w:rsidRPr="00477FA0">
              <w:t xml:space="preserve"> kg</w:t>
            </w:r>
            <w:r w:rsidRPr="0026511C">
              <w:rPr>
                <w:color w:val="FF0000"/>
              </w:rPr>
              <w:t xml:space="preserve"> </w:t>
            </w:r>
            <w:r w:rsidRPr="00CC136F">
              <w:t>medicinskog otpada.</w:t>
            </w:r>
          </w:p>
          <w:p w:rsidR="0037705C" w:rsidRDefault="008454EC" w:rsidP="005C6716">
            <w:pPr>
              <w:pStyle w:val="Sadrajitablice"/>
              <w:spacing w:after="283"/>
              <w:jc w:val="both"/>
            </w:pPr>
            <w:r>
              <w:t xml:space="preserve">Općina Punat imala je u </w:t>
            </w:r>
            <w:r w:rsidR="00422D49">
              <w:t>201</w:t>
            </w:r>
            <w:r w:rsidR="0026511C">
              <w:t>6</w:t>
            </w:r>
            <w:r>
              <w:t>. godini sklopljen ugovor sa Veterinarskom stanicom Rijeka za skupljanje lešina sa javnih površina. Na poziv Općine ovlašteni djelatnici odvoze leš te ga dalje zbrinjavaju na adekvatan način.</w:t>
            </w:r>
          </w:p>
          <w:p w:rsidR="005C6716" w:rsidRPr="005C6716" w:rsidRDefault="005C6716" w:rsidP="005C6716">
            <w:pPr>
              <w:pStyle w:val="Sadrajitablice"/>
              <w:spacing w:after="283"/>
              <w:jc w:val="both"/>
            </w:pPr>
          </w:p>
          <w:p w:rsidR="008454EC" w:rsidRDefault="008454EC">
            <w:pPr>
              <w:pStyle w:val="Sadrajitablice"/>
              <w:spacing w:after="283"/>
              <w:rPr>
                <w:b/>
                <w:bCs/>
              </w:rPr>
            </w:pPr>
            <w:r>
              <w:rPr>
                <w:b/>
                <w:bCs/>
              </w:rPr>
              <w:lastRenderedPageBreak/>
              <w:t>3. REALIZACIJA PREDVIĐENIH MJERA PREMA USVOJENOM PLANU</w:t>
            </w:r>
          </w:p>
          <w:p w:rsidR="008454EC" w:rsidRDefault="008454EC">
            <w:pPr>
              <w:pStyle w:val="Sadrajitablice"/>
              <w:numPr>
                <w:ilvl w:val="0"/>
                <w:numId w:val="3"/>
              </w:numPr>
              <w:spacing w:after="283"/>
              <w:jc w:val="both"/>
            </w:pPr>
            <w:r>
              <w:t>na otoku Krku uveden je ekološki zasnovan sustav zbrinjavanja otpada, popularno nazvan projekt EKO otok Krk. Projekt se uspješno provodio i u 201</w:t>
            </w:r>
            <w:r w:rsidR="0026511C">
              <w:t>6</w:t>
            </w:r>
            <w:r>
              <w:t>. godini uz svjesno sudjelovanje otočana o dugoročnoj i kratkoročnoj koristi od odvojenog skupljanja otpada</w:t>
            </w:r>
          </w:p>
          <w:p w:rsidR="008454EC" w:rsidRDefault="008454EC">
            <w:pPr>
              <w:pStyle w:val="Sadrajitablice"/>
              <w:numPr>
                <w:ilvl w:val="0"/>
                <w:numId w:val="3"/>
              </w:numPr>
              <w:spacing w:after="283"/>
              <w:jc w:val="both"/>
            </w:pPr>
            <w:r>
              <w:t>edukacija javnosti po pitanju provedenih unaprijeđenja sustava odvojenog prikupljanja otpada. Ova mjera se provodi kontinuirano i vrlo kvalitetno. Ovu mjeru provodi tvrtka Ponikve</w:t>
            </w:r>
            <w:r w:rsidR="0037705C">
              <w:t xml:space="preserve"> eko otok Krk d.o.o. Krk</w:t>
            </w:r>
            <w:r>
              <w:t>, a Općina Punat se uključuje na način da sve dostupne materijale objavljuje na svojoj web</w:t>
            </w:r>
            <w:r w:rsidR="00815889">
              <w:t xml:space="preserve"> </w:t>
            </w:r>
            <w:r>
              <w:t>-</w:t>
            </w:r>
            <w:r w:rsidR="00815889">
              <w:t xml:space="preserve"> </w:t>
            </w:r>
            <w:r>
              <w:t>stranici te oglasnim pločama. U edukaciju se uključuju i Dječji vrtić</w:t>
            </w:r>
            <w:r w:rsidR="00815889">
              <w:t xml:space="preserve"> Lastavica i Osnov</w:t>
            </w:r>
            <w:r>
              <w:t>n</w:t>
            </w:r>
            <w:r w:rsidR="00815889">
              <w:t>a</w:t>
            </w:r>
            <w:r>
              <w:t xml:space="preserve"> škola</w:t>
            </w:r>
            <w:r w:rsidR="00815889">
              <w:t xml:space="preserve"> Fran Krsto Frankopan – Podružnica Punat</w:t>
            </w:r>
            <w:r>
              <w:t xml:space="preserve">. </w:t>
            </w:r>
          </w:p>
          <w:p w:rsidR="008454EC" w:rsidRDefault="008454EC">
            <w:pPr>
              <w:pStyle w:val="Sadrajitablice"/>
              <w:numPr>
                <w:ilvl w:val="0"/>
                <w:numId w:val="3"/>
              </w:numPr>
              <w:spacing w:after="283"/>
              <w:jc w:val="both"/>
            </w:pPr>
            <w:r>
              <w:t>ostvareni su ciljevi rasta recikliranog i obrađenog komunalnog otp</w:t>
            </w:r>
            <w:r w:rsidR="00FF68AD">
              <w:t>ada. Tako je ukupna količina bio otpada u prošloj</w:t>
            </w:r>
            <w:r>
              <w:t xml:space="preserve"> 201</w:t>
            </w:r>
            <w:r w:rsidR="0026511C">
              <w:t>6</w:t>
            </w:r>
            <w:r w:rsidR="00FF68AD">
              <w:t>. godini povećana  n</w:t>
            </w:r>
            <w:r>
              <w:t xml:space="preserve">a gotovo </w:t>
            </w:r>
            <w:r w:rsidR="00FF68AD">
              <w:t xml:space="preserve">20 </w:t>
            </w:r>
            <w:r w:rsidR="00815889">
              <w:t>%</w:t>
            </w:r>
            <w:r>
              <w:t xml:space="preserve">. Bio otpad koji se odlaže u kompostanu i gdje u posebnom tehnološkom postupku i dozrijeva, dijeljen je svim kućanstvima (1 vreća po kućanstvu), a ostatak je </w:t>
            </w:r>
            <w:r w:rsidR="00815889">
              <w:t>prodan na tržištu.</w:t>
            </w:r>
          </w:p>
          <w:p w:rsidR="0037705C" w:rsidRDefault="0037705C">
            <w:pPr>
              <w:pStyle w:val="Sadrajitablice"/>
              <w:spacing w:after="283"/>
              <w:rPr>
                <w:b/>
              </w:rPr>
            </w:pPr>
          </w:p>
          <w:p w:rsidR="008454EC" w:rsidRDefault="008454EC">
            <w:pPr>
              <w:pStyle w:val="Sadrajitablice"/>
              <w:spacing w:after="283"/>
              <w:rPr>
                <w:b/>
              </w:rPr>
            </w:pPr>
            <w:r>
              <w:rPr>
                <w:b/>
              </w:rPr>
              <w:t>4. ZAKLJUČAK</w:t>
            </w:r>
          </w:p>
          <w:p w:rsidR="008454EC" w:rsidRDefault="008454EC">
            <w:pPr>
              <w:pStyle w:val="Sadrajitablice"/>
              <w:spacing w:after="283"/>
              <w:jc w:val="both"/>
            </w:pPr>
            <w:r>
              <w:t>Općina Punat ispunila je svoju zakonsku obvezu i donijela Plan gospodarenja otpadom. Ciljevi iz Plana se ostvaruju.</w:t>
            </w:r>
          </w:p>
          <w:p w:rsidR="008454EC" w:rsidRDefault="008454EC">
            <w:pPr>
              <w:pStyle w:val="Sadrajitablice"/>
              <w:spacing w:after="283"/>
              <w:jc w:val="both"/>
            </w:pPr>
            <w:r>
              <w:t>Realizacija i kvalitetno funkcioniranje cjelokupnog sustava gospodarenja otpadom zacrtanog Planom, zasnovano je na uključenosti i velikoj suradnji građana, gospodarskih subjekata te jedinice lokalne samouprave i komunalnog poduzeća Ponikve</w:t>
            </w:r>
            <w:r w:rsidR="00362DE7">
              <w:t xml:space="preserve"> eko otok Krk</w:t>
            </w:r>
            <w:r w:rsidR="0037705C">
              <w:t xml:space="preserve"> d.o.o. Krk</w:t>
            </w:r>
            <w:r>
              <w:t xml:space="preserve"> u provedbi planiranih mjera te osiguranju potrebnih financijskih sredstava u proračunu. Tijekom 201</w:t>
            </w:r>
            <w:r w:rsidR="0026511C">
              <w:t>6</w:t>
            </w:r>
            <w:r>
              <w:t>. godine suradnja se može ocijeniti zadovoljavajućom.</w:t>
            </w:r>
          </w:p>
          <w:p w:rsidR="008454EC" w:rsidRDefault="008454EC">
            <w:pPr>
              <w:pStyle w:val="Sadrajitablice"/>
              <w:spacing w:after="283"/>
              <w:jc w:val="both"/>
            </w:pPr>
            <w:r>
              <w:t xml:space="preserve">Na području Općine Punat postupanje s otpadom uklapa se u cjelovitu sliku postupanja otpadom na nivou svih jedinica lokalne samouprave otoka Krka. </w:t>
            </w:r>
          </w:p>
          <w:p w:rsidR="008454EC" w:rsidRDefault="008454EC">
            <w:pPr>
              <w:pStyle w:val="Sadrajitablice"/>
              <w:spacing w:after="283"/>
              <w:jc w:val="both"/>
            </w:pPr>
            <w:r>
              <w:t xml:space="preserve">Na otoku Krku pa tako i na području Općine Punat provodi se projekt "Eko otok Krk" koji je prvi cjelovit model zbrinjavanja svih vrsta otpada u Hrvatskoj.  Po sustavu zbrinjavanja pozitivno odskačemo od prosjeka Primorsko-goranske županije, a znatno od </w:t>
            </w:r>
            <w:r w:rsidR="0037705C">
              <w:t>prosjeka u Republici Hrvatskoj.</w:t>
            </w:r>
            <w:r>
              <w:t xml:space="preserve"> Slogan "Eko otok Krk – najčistiji dio Hrvatske" u pozitivnom smislu promovira naš otok, a TZ otoka Krka ima sporazum s Ponikvom o njegovom korištenju u promidžbene svrhe.</w:t>
            </w:r>
          </w:p>
          <w:p w:rsidR="008454EC" w:rsidRDefault="008454EC">
            <w:pPr>
              <w:pStyle w:val="Sadrajitablice"/>
              <w:spacing w:after="283"/>
              <w:jc w:val="both"/>
            </w:pPr>
            <w:r>
              <w:t>U 201</w:t>
            </w:r>
            <w:r w:rsidR="0026511C">
              <w:t>6</w:t>
            </w:r>
            <w:r>
              <w:t xml:space="preserve">. godini komunalno </w:t>
            </w:r>
            <w:r w:rsidR="00815889">
              <w:t>društvo Ponikve</w:t>
            </w:r>
            <w:r w:rsidR="0037705C">
              <w:t xml:space="preserve"> eko otok Krk d.o.o. Krk</w:t>
            </w:r>
            <w:r w:rsidR="00815889">
              <w:t xml:space="preserve"> težinski je uspje</w:t>
            </w:r>
            <w:r w:rsidR="008D7272">
              <w:t>lo izdvojiti</w:t>
            </w:r>
            <w:r w:rsidR="0026511C">
              <w:t xml:space="preserve"> preko</w:t>
            </w:r>
            <w:r w:rsidR="008D7272">
              <w:t xml:space="preserve"> 50</w:t>
            </w:r>
            <w:r>
              <w:t xml:space="preserve">% korisnih sirovina od ukupno odbačenog otpada s područja Općine Punat. Podaci su zadovoljavajući kad se usporede sa strateškim dokumentima RH koji težinsko izdvajanje 25% korisnih sirovina postavljaju kao cilj do 2025. godine. </w:t>
            </w:r>
          </w:p>
          <w:p w:rsidR="008454EC" w:rsidRDefault="008454EC">
            <w:pPr>
              <w:pStyle w:val="Sadrajitablice"/>
              <w:spacing w:after="283"/>
              <w:jc w:val="both"/>
            </w:pPr>
            <w:r>
              <w:t>Problem građevinskog otpada kao i otpada materijala od iskopa treba rješiti posebnim reciklažnim dvorištem za obradu građevinskog otpada. Današnja lokacija kod Lovačkog doma je neadekvatna i prostorno planskom dokumentacijom predviđena za druge namjene.</w:t>
            </w:r>
          </w:p>
          <w:p w:rsidR="008454EC" w:rsidRDefault="008454EC">
            <w:pPr>
              <w:pStyle w:val="Sadrajitablice"/>
              <w:spacing w:after="283"/>
              <w:jc w:val="both"/>
            </w:pPr>
            <w:r>
              <w:t xml:space="preserve">Razmatrajući gospodarenje otpadom može se zaključiti da je na području Općine Punat postavljen </w:t>
            </w:r>
            <w:r>
              <w:lastRenderedPageBreak/>
              <w:t>dobar sustav zbrinjavanja otpada, tj. omogućeno je građanima da sav proizvedeni otpad mogu zbrinuti na zakonom predviđeni način.</w:t>
            </w:r>
          </w:p>
          <w:p w:rsidR="008454EC" w:rsidRDefault="008454EC">
            <w:pPr>
              <w:pStyle w:val="Sadrajitablice"/>
              <w:spacing w:after="283"/>
              <w:jc w:val="both"/>
            </w:pPr>
            <w:r>
              <w:t>Iz ovog Izvješća vidljivo je da Općina Punat u suradnji sa tvrtkom "Ponikve</w:t>
            </w:r>
            <w:r w:rsidR="00362DE7">
              <w:t xml:space="preserve"> eko otok Krk" d.o.o.</w:t>
            </w:r>
            <w:r w:rsidR="0037705C">
              <w:t xml:space="preserve"> Krk</w:t>
            </w:r>
            <w:r w:rsidR="00362DE7">
              <w:t xml:space="preserve"> k</w:t>
            </w:r>
            <w:r>
              <w:t>ontinuirano radi na realizaciji mjera definiranih u Programu gospodarenja otpadom u Općini Punat od 2010</w:t>
            </w:r>
            <w:r w:rsidR="00921E79">
              <w:t>.</w:t>
            </w:r>
            <w:r>
              <w:t xml:space="preserve"> do 2018. godine.</w:t>
            </w:r>
          </w:p>
          <w:p w:rsidR="008454EC" w:rsidRDefault="008454EC">
            <w:pPr>
              <w:pStyle w:val="Sadrajitablice"/>
              <w:spacing w:after="283"/>
            </w:pPr>
          </w:p>
          <w:p w:rsidR="008454EC" w:rsidRDefault="00362DE7">
            <w:pPr>
              <w:pStyle w:val="Sadrajitablice"/>
            </w:pPr>
            <w:r>
              <w:t>KLASA</w:t>
            </w:r>
            <w:r w:rsidR="008454EC">
              <w:t>:</w:t>
            </w:r>
            <w:r w:rsidR="00012FC5">
              <w:t xml:space="preserve"> </w:t>
            </w:r>
            <w:r w:rsidR="0026511C">
              <w:t>080-02/17</w:t>
            </w:r>
            <w:r w:rsidR="00CC062D">
              <w:t>-01/1</w:t>
            </w:r>
          </w:p>
          <w:p w:rsidR="008454EC" w:rsidRPr="00C645F0" w:rsidRDefault="00362DE7">
            <w:pPr>
              <w:pStyle w:val="Sadrajitablice"/>
            </w:pPr>
            <w:r>
              <w:t>URBROJ</w:t>
            </w:r>
            <w:r w:rsidR="00FE36CF">
              <w:t>:</w:t>
            </w:r>
            <w:r w:rsidR="0026511C">
              <w:t xml:space="preserve"> 2142-02-02/1-17-</w:t>
            </w:r>
            <w:r w:rsidR="00921E79">
              <w:t>9</w:t>
            </w:r>
          </w:p>
          <w:p w:rsidR="008454EC" w:rsidRDefault="00CC062D">
            <w:pPr>
              <w:pStyle w:val="Sadrajitablice"/>
            </w:pPr>
            <w:r>
              <w:t>Punat, 14</w:t>
            </w:r>
            <w:r w:rsidR="00EA197D">
              <w:t>. ožujka 2016</w:t>
            </w:r>
            <w:r w:rsidR="008454EC">
              <w:t>.</w:t>
            </w:r>
            <w:r w:rsidR="00FE36CF">
              <w:t xml:space="preserve"> godine</w:t>
            </w:r>
          </w:p>
          <w:p w:rsidR="008454EC" w:rsidRDefault="008454EC" w:rsidP="00921E79">
            <w:pPr>
              <w:pStyle w:val="Sadrajitablice"/>
              <w:jc w:val="both"/>
            </w:pPr>
          </w:p>
          <w:p w:rsidR="00E56FDD" w:rsidRDefault="00E56FDD" w:rsidP="00921E79">
            <w:pPr>
              <w:pStyle w:val="Sadrajitablice"/>
              <w:jc w:val="right"/>
            </w:pPr>
            <w:r>
              <w:t>OPĆINSKI NAČELNI</w:t>
            </w:r>
            <w:r w:rsidR="00921E79">
              <w:t>K</w:t>
            </w:r>
          </w:p>
          <w:p w:rsidR="008454EC" w:rsidRDefault="008454EC" w:rsidP="00921E79">
            <w:pPr>
              <w:pStyle w:val="Sadrajitablice"/>
              <w:jc w:val="both"/>
            </w:pPr>
            <w:r>
              <w:t xml:space="preserve">                                                                                                                    </w:t>
            </w:r>
            <w:r w:rsidR="00FE36CF">
              <w:t xml:space="preserve"> </w:t>
            </w:r>
            <w:r w:rsidR="00921E79">
              <w:t xml:space="preserve">           </w:t>
            </w:r>
            <w:r w:rsidR="00FE36CF">
              <w:t xml:space="preserve"> Marinko Žic</w:t>
            </w:r>
            <w:r w:rsidR="00921E79">
              <w:t>,v.r.</w:t>
            </w:r>
            <w:r>
              <w:t xml:space="preserve"> </w:t>
            </w:r>
          </w:p>
          <w:p w:rsidR="008454EC" w:rsidRDefault="008454EC" w:rsidP="0068058A">
            <w:pPr>
              <w:pStyle w:val="Sadrajitablice"/>
              <w:spacing w:after="283"/>
            </w:pPr>
          </w:p>
        </w:tc>
      </w:tr>
      <w:tr w:rsidR="008454EC" w:rsidTr="00921E79">
        <w:trPr>
          <w:trHeight w:val="176"/>
        </w:trPr>
        <w:tc>
          <w:tcPr>
            <w:tcW w:w="9781" w:type="dxa"/>
            <w:shd w:val="clear" w:color="auto" w:fill="auto"/>
            <w:vAlign w:val="center"/>
          </w:tcPr>
          <w:p w:rsidR="008454EC" w:rsidRDefault="008454EC">
            <w:pPr>
              <w:pStyle w:val="Sadrajitablice"/>
              <w:snapToGrid w:val="0"/>
            </w:pPr>
          </w:p>
        </w:tc>
      </w:tr>
      <w:tr w:rsidR="008454EC" w:rsidTr="00921E79">
        <w:trPr>
          <w:trHeight w:val="176"/>
        </w:trPr>
        <w:tc>
          <w:tcPr>
            <w:tcW w:w="9781" w:type="dxa"/>
            <w:shd w:val="clear" w:color="auto" w:fill="auto"/>
            <w:vAlign w:val="center"/>
          </w:tcPr>
          <w:p w:rsidR="008454EC" w:rsidRDefault="008454EC">
            <w:pPr>
              <w:pStyle w:val="Sadrajitablice"/>
              <w:snapToGrid w:val="0"/>
            </w:pPr>
          </w:p>
        </w:tc>
      </w:tr>
    </w:tbl>
    <w:p w:rsidR="008454EC" w:rsidRDefault="008454EC"/>
    <w:sectPr w:rsidR="008454EC">
      <w:footerReference w:type="default" r:id="rId7"/>
      <w:pgSz w:w="11906" w:h="16838"/>
      <w:pgMar w:top="1134" w:right="1134" w:bottom="1693" w:left="1134" w:header="720"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D67" w:rsidRDefault="009B0D67">
      <w:r>
        <w:separator/>
      </w:r>
    </w:p>
  </w:endnote>
  <w:endnote w:type="continuationSeparator" w:id="0">
    <w:p w:rsidR="009B0D67" w:rsidRDefault="009B0D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4EC" w:rsidRDefault="008454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D67" w:rsidRDefault="009B0D67">
      <w:r>
        <w:separator/>
      </w:r>
    </w:p>
  </w:footnote>
  <w:footnote w:type="continuationSeparator" w:id="0">
    <w:p w:rsidR="009B0D67" w:rsidRDefault="009B0D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8C9CA1EC"/>
    <w:name w:val="WW8Num2"/>
    <w:lvl w:ilvl="0">
      <w:start w:val="1"/>
      <w:numFmt w:val="bullet"/>
      <w:lvlText w:val=""/>
      <w:lvlJc w:val="left"/>
      <w:pPr>
        <w:tabs>
          <w:tab w:val="num" w:pos="720"/>
        </w:tabs>
        <w:ind w:left="720" w:hanging="360"/>
      </w:pPr>
      <w:rPr>
        <w:rFonts w:ascii="Symbol" w:hAnsi="Symbol" w:cs="OpenSymbol"/>
        <w:color w:val="auto"/>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8Num3"/>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785"/>
        </w:tabs>
        <w:ind w:left="785" w:hanging="360"/>
      </w:pPr>
      <w:rPr>
        <w:rFonts w:ascii="Symbol" w:hAnsi="Symbol" w:cs="OpenSymbol"/>
      </w:rPr>
    </w:lvl>
    <w:lvl w:ilvl="1">
      <w:start w:val="1"/>
      <w:numFmt w:val="bullet"/>
      <w:lvlText w:val="◦"/>
      <w:lvlJc w:val="left"/>
      <w:pPr>
        <w:tabs>
          <w:tab w:val="num" w:pos="1145"/>
        </w:tabs>
        <w:ind w:left="1145" w:hanging="360"/>
      </w:pPr>
      <w:rPr>
        <w:rFonts w:ascii="OpenSymbol" w:hAnsi="OpenSymbol" w:cs="OpenSymbol"/>
      </w:rPr>
    </w:lvl>
    <w:lvl w:ilvl="2">
      <w:start w:val="1"/>
      <w:numFmt w:val="bullet"/>
      <w:lvlText w:val="▪"/>
      <w:lvlJc w:val="left"/>
      <w:pPr>
        <w:tabs>
          <w:tab w:val="num" w:pos="1505"/>
        </w:tabs>
        <w:ind w:left="1505" w:hanging="360"/>
      </w:pPr>
      <w:rPr>
        <w:rFonts w:ascii="OpenSymbol" w:hAnsi="OpenSymbol" w:cs="OpenSymbol"/>
      </w:rPr>
    </w:lvl>
    <w:lvl w:ilvl="3">
      <w:start w:val="1"/>
      <w:numFmt w:val="bullet"/>
      <w:lvlText w:val=""/>
      <w:lvlJc w:val="left"/>
      <w:pPr>
        <w:tabs>
          <w:tab w:val="num" w:pos="1865"/>
        </w:tabs>
        <w:ind w:left="1865" w:hanging="360"/>
      </w:pPr>
      <w:rPr>
        <w:rFonts w:ascii="Symbol" w:hAnsi="Symbol" w:cs="OpenSymbol"/>
      </w:rPr>
    </w:lvl>
    <w:lvl w:ilvl="4">
      <w:start w:val="1"/>
      <w:numFmt w:val="bullet"/>
      <w:lvlText w:val="◦"/>
      <w:lvlJc w:val="left"/>
      <w:pPr>
        <w:tabs>
          <w:tab w:val="num" w:pos="2225"/>
        </w:tabs>
        <w:ind w:left="2225" w:hanging="360"/>
      </w:pPr>
      <w:rPr>
        <w:rFonts w:ascii="OpenSymbol" w:hAnsi="OpenSymbol" w:cs="OpenSymbol"/>
      </w:rPr>
    </w:lvl>
    <w:lvl w:ilvl="5">
      <w:start w:val="1"/>
      <w:numFmt w:val="bullet"/>
      <w:lvlText w:val="▪"/>
      <w:lvlJc w:val="left"/>
      <w:pPr>
        <w:tabs>
          <w:tab w:val="num" w:pos="2585"/>
        </w:tabs>
        <w:ind w:left="2585" w:hanging="360"/>
      </w:pPr>
      <w:rPr>
        <w:rFonts w:ascii="OpenSymbol" w:hAnsi="OpenSymbol" w:cs="OpenSymbol"/>
      </w:rPr>
    </w:lvl>
    <w:lvl w:ilvl="6">
      <w:start w:val="1"/>
      <w:numFmt w:val="bullet"/>
      <w:lvlText w:val=""/>
      <w:lvlJc w:val="left"/>
      <w:pPr>
        <w:tabs>
          <w:tab w:val="num" w:pos="2945"/>
        </w:tabs>
        <w:ind w:left="2945" w:hanging="360"/>
      </w:pPr>
      <w:rPr>
        <w:rFonts w:ascii="Symbol" w:hAnsi="Symbol" w:cs="OpenSymbol"/>
      </w:rPr>
    </w:lvl>
    <w:lvl w:ilvl="7">
      <w:start w:val="1"/>
      <w:numFmt w:val="bullet"/>
      <w:lvlText w:val="◦"/>
      <w:lvlJc w:val="left"/>
      <w:pPr>
        <w:tabs>
          <w:tab w:val="num" w:pos="3305"/>
        </w:tabs>
        <w:ind w:left="3305" w:hanging="360"/>
      </w:pPr>
      <w:rPr>
        <w:rFonts w:ascii="OpenSymbol" w:hAnsi="OpenSymbol" w:cs="OpenSymbol"/>
      </w:rPr>
    </w:lvl>
    <w:lvl w:ilvl="8">
      <w:start w:val="1"/>
      <w:numFmt w:val="bullet"/>
      <w:lvlText w:val="▪"/>
      <w:lvlJc w:val="left"/>
      <w:pPr>
        <w:tabs>
          <w:tab w:val="num" w:pos="3665"/>
        </w:tabs>
        <w:ind w:left="3665" w:hanging="360"/>
      </w:pPr>
      <w:rPr>
        <w:rFonts w:ascii="OpenSymbol" w:hAnsi="OpenSymbol" w:cs="OpenSymbol"/>
      </w:rPr>
    </w:lvl>
  </w:abstractNum>
  <w:abstractNum w:abstractNumId="4">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grammar="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FE36CF"/>
    <w:rsid w:val="0000413F"/>
    <w:rsid w:val="00012FC5"/>
    <w:rsid w:val="00076B67"/>
    <w:rsid w:val="001053F5"/>
    <w:rsid w:val="00120E85"/>
    <w:rsid w:val="00137451"/>
    <w:rsid w:val="00163E61"/>
    <w:rsid w:val="00174010"/>
    <w:rsid w:val="0017665A"/>
    <w:rsid w:val="001811E7"/>
    <w:rsid w:val="001A228F"/>
    <w:rsid w:val="002069F3"/>
    <w:rsid w:val="002345BB"/>
    <w:rsid w:val="0026511C"/>
    <w:rsid w:val="002F6C8B"/>
    <w:rsid w:val="00314EAA"/>
    <w:rsid w:val="0031704D"/>
    <w:rsid w:val="0032042A"/>
    <w:rsid w:val="00350CA4"/>
    <w:rsid w:val="00362DE7"/>
    <w:rsid w:val="0037705C"/>
    <w:rsid w:val="003B7865"/>
    <w:rsid w:val="003C3B75"/>
    <w:rsid w:val="00422D49"/>
    <w:rsid w:val="00430718"/>
    <w:rsid w:val="004769A6"/>
    <w:rsid w:val="00477FA0"/>
    <w:rsid w:val="004A07B4"/>
    <w:rsid w:val="004C4973"/>
    <w:rsid w:val="004D4EE7"/>
    <w:rsid w:val="004D5B57"/>
    <w:rsid w:val="004F1757"/>
    <w:rsid w:val="005113B5"/>
    <w:rsid w:val="005C6716"/>
    <w:rsid w:val="00610A80"/>
    <w:rsid w:val="0061306D"/>
    <w:rsid w:val="0061455C"/>
    <w:rsid w:val="006271B2"/>
    <w:rsid w:val="00635E14"/>
    <w:rsid w:val="0068058A"/>
    <w:rsid w:val="006824A8"/>
    <w:rsid w:val="006973DB"/>
    <w:rsid w:val="006B41DC"/>
    <w:rsid w:val="0073705D"/>
    <w:rsid w:val="0079112D"/>
    <w:rsid w:val="0079300B"/>
    <w:rsid w:val="007A1811"/>
    <w:rsid w:val="007A7985"/>
    <w:rsid w:val="007E7D32"/>
    <w:rsid w:val="007F66B7"/>
    <w:rsid w:val="00810AE6"/>
    <w:rsid w:val="00815889"/>
    <w:rsid w:val="008454EC"/>
    <w:rsid w:val="00852165"/>
    <w:rsid w:val="00856BCE"/>
    <w:rsid w:val="00865280"/>
    <w:rsid w:val="008A1F8C"/>
    <w:rsid w:val="008A317E"/>
    <w:rsid w:val="008D1DF4"/>
    <w:rsid w:val="008D56DC"/>
    <w:rsid w:val="008D7272"/>
    <w:rsid w:val="00921E79"/>
    <w:rsid w:val="00926C07"/>
    <w:rsid w:val="0093517C"/>
    <w:rsid w:val="00990C31"/>
    <w:rsid w:val="009B0D67"/>
    <w:rsid w:val="009C2C08"/>
    <w:rsid w:val="009D479D"/>
    <w:rsid w:val="009E190F"/>
    <w:rsid w:val="00A67FD5"/>
    <w:rsid w:val="00AA137F"/>
    <w:rsid w:val="00AD227A"/>
    <w:rsid w:val="00AF2B06"/>
    <w:rsid w:val="00AF6358"/>
    <w:rsid w:val="00B71D03"/>
    <w:rsid w:val="00B73E93"/>
    <w:rsid w:val="00B81A4B"/>
    <w:rsid w:val="00B935D4"/>
    <w:rsid w:val="00C349DD"/>
    <w:rsid w:val="00C44F64"/>
    <w:rsid w:val="00C645F0"/>
    <w:rsid w:val="00C7468F"/>
    <w:rsid w:val="00C90121"/>
    <w:rsid w:val="00CC062D"/>
    <w:rsid w:val="00CC136F"/>
    <w:rsid w:val="00D04DCF"/>
    <w:rsid w:val="00D05F3C"/>
    <w:rsid w:val="00D20B87"/>
    <w:rsid w:val="00D66D36"/>
    <w:rsid w:val="00E15E65"/>
    <w:rsid w:val="00E25DD6"/>
    <w:rsid w:val="00E56FDD"/>
    <w:rsid w:val="00E6585E"/>
    <w:rsid w:val="00EA197D"/>
    <w:rsid w:val="00F05467"/>
    <w:rsid w:val="00F30DCC"/>
    <w:rsid w:val="00F5422D"/>
    <w:rsid w:val="00F71F52"/>
    <w:rsid w:val="00FB0E15"/>
    <w:rsid w:val="00FE36CF"/>
    <w:rsid w:val="00FF68AD"/>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Lucida Sans Unicode" w:cs="Mangal"/>
      <w:kern w:val="1"/>
      <w:sz w:val="24"/>
      <w:szCs w:val="24"/>
      <w:lang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Grafikeoznake">
    <w:name w:val="Grafičke oznake"/>
    <w:rPr>
      <w:rFonts w:ascii="OpenSymbol" w:eastAsia="OpenSymbol" w:hAnsi="OpenSymbol" w:cs="OpenSymbol"/>
    </w:rPr>
  </w:style>
  <w:style w:type="character" w:customStyle="1" w:styleId="Simbolinumeriranja">
    <w:name w:val="Simboli numeriranja"/>
  </w:style>
  <w:style w:type="paragraph" w:customStyle="1" w:styleId="Naslov">
    <w:name w:val="Naslov"/>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customStyle="1" w:styleId="Opis">
    <w:name w:val="Opis"/>
    <w:basedOn w:val="Normal"/>
    <w:pPr>
      <w:suppressLineNumbers/>
      <w:spacing w:before="120" w:after="120"/>
    </w:pPr>
    <w:rPr>
      <w:i/>
      <w:iCs/>
    </w:rPr>
  </w:style>
  <w:style w:type="paragraph" w:customStyle="1" w:styleId="Indeks">
    <w:name w:val="Indeks"/>
    <w:basedOn w:val="Normal"/>
    <w:pPr>
      <w:suppressLineNumbers/>
    </w:pPr>
  </w:style>
  <w:style w:type="paragraph" w:customStyle="1" w:styleId="Sadrajitablice">
    <w:name w:val="Sadržaji tablice"/>
    <w:basedOn w:val="Normal"/>
    <w:pPr>
      <w:suppressLineNumbers/>
    </w:pPr>
  </w:style>
  <w:style w:type="paragraph" w:customStyle="1" w:styleId="Naslovtablice">
    <w:name w:val="Naslov tablice"/>
    <w:basedOn w:val="Sadrajitablice"/>
    <w:pPr>
      <w:jc w:val="center"/>
    </w:pPr>
    <w:rPr>
      <w:b/>
      <w:bCs/>
    </w:rPr>
  </w:style>
  <w:style w:type="paragraph" w:styleId="Footer">
    <w:name w:val="footer"/>
    <w:basedOn w:val="Normal"/>
    <w:pPr>
      <w:suppressLineNumbers/>
      <w:tabs>
        <w:tab w:val="center" w:pos="4819"/>
        <w:tab w:val="right" w:pos="9638"/>
      </w:tabs>
    </w:pPr>
  </w:style>
  <w:style w:type="paragraph" w:styleId="Header">
    <w:name w:val="header"/>
    <w:basedOn w:val="Normal"/>
    <w:pPr>
      <w:suppressLineNumbers/>
      <w:tabs>
        <w:tab w:val="center" w:pos="4819"/>
        <w:tab w:val="right" w:pos="9638"/>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1842</Words>
  <Characters>10505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Orlic</dc:creator>
  <cp:lastModifiedBy>Elfrida Mahulja</cp:lastModifiedBy>
  <cp:revision>2</cp:revision>
  <cp:lastPrinted>2017-03-16T13:20:00Z</cp:lastPrinted>
  <dcterms:created xsi:type="dcterms:W3CDTF">2017-04-05T07:47:00Z</dcterms:created>
  <dcterms:modified xsi:type="dcterms:W3CDTF">2017-04-05T07:47:00Z</dcterms:modified>
</cp:coreProperties>
</file>