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1" w:type="dxa"/>
        <w:tblCellMar>
          <w:left w:w="10" w:type="dxa"/>
          <w:right w:w="10" w:type="dxa"/>
        </w:tblCellMar>
        <w:tblLook w:val="0000"/>
      </w:tblPr>
      <w:tblGrid>
        <w:gridCol w:w="3951"/>
        <w:gridCol w:w="5670"/>
      </w:tblGrid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CD32BE">
            <w:pPr>
              <w:widowControl w:val="0"/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Garamond" w:eastAsia="Myriad Pro" w:hAnsi="Garamond" w:cs="Myriad Pro"/>
                <w:color w:val="231F20"/>
                <w:szCs w:val="22"/>
              </w:rPr>
            </w:pPr>
          </w:p>
          <w:p w:rsidR="00CD32BE" w:rsidRDefault="008C1E0E">
            <w:pPr>
              <w:widowControl w:val="0"/>
              <w:tabs>
                <w:tab w:val="left" w:pos="709"/>
                <w:tab w:val="left" w:pos="7088"/>
              </w:tabs>
              <w:spacing w:after="0" w:line="240" w:lineRule="auto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Izvješće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provedenom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savjetovanju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nacrtu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prijedloga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Odluke</w:t>
            </w:r>
            <w:proofErr w:type="spellEnd"/>
            <w:r>
              <w:rPr>
                <w:rFonts w:ascii="Garamond" w:eastAsia="Times New Roman" w:hAnsi="Garamond" w:cs="Arial"/>
                <w:kern w:val="3"/>
                <w:szCs w:val="22"/>
                <w:lang w:val="hr-HR" w:eastAsia="hi-IN" w:bidi="hi-IN"/>
              </w:rPr>
              <w:t xml:space="preserve"> o stavljanju izvan snage Odluke o </w:t>
            </w:r>
            <w:r>
              <w:rPr>
                <w:rFonts w:ascii="Garamond" w:eastAsia="Times New Roman" w:hAnsi="Garamond" w:cs="Arial"/>
                <w:kern w:val="3"/>
                <w:szCs w:val="22"/>
                <w:lang w:val="hr-HR" w:eastAsia="hi-IN" w:bidi="hi-IN"/>
              </w:rPr>
              <w:t>uvođenju i naplati ekološke pristojbe</w:t>
            </w:r>
          </w:p>
          <w:p w:rsidR="00CD32BE" w:rsidRDefault="00CD32BE">
            <w:pPr>
              <w:widowControl w:val="0"/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kern w:val="3"/>
                <w:szCs w:val="22"/>
                <w:lang w:val="hr-HR" w:eastAsia="hi-IN" w:bidi="hi-IN"/>
              </w:rPr>
            </w:pP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Punat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Jedinstveni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upravni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odjel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widowControl w:val="0"/>
              <w:spacing w:after="0" w:line="240" w:lineRule="auto"/>
              <w:ind w:right="-1"/>
              <w:jc w:val="both"/>
            </w:pPr>
            <w:r>
              <w:rPr>
                <w:rFonts w:ascii="Garamond" w:hAnsi="Garamond"/>
                <w:szCs w:val="22"/>
                <w:lang w:val="hr-HR"/>
              </w:rPr>
              <w:t xml:space="preserve">Odluka o uvođenju i naplati ekološke pristojbe („Službene novine Primorsko-goranske županije“ broj </w:t>
            </w:r>
            <w:r>
              <w:rPr>
                <w:rFonts w:ascii="Garamond" w:hAnsi="Garamond"/>
                <w:szCs w:val="22"/>
                <w:lang w:val="hr-HR"/>
              </w:rPr>
              <w:t xml:space="preserve">17/06) – dalje u tekstu: Odluka </w:t>
            </w:r>
            <w:r>
              <w:rPr>
                <w:rFonts w:ascii="Garamond" w:eastAsia="Times New Roman" w:hAnsi="Garamond" w:cs="Mangal"/>
                <w:kern w:val="3"/>
                <w:szCs w:val="22"/>
                <w:lang w:val="hr-HR" w:eastAsia="hi-IN" w:bidi="hi-IN"/>
              </w:rPr>
              <w:t>donesena je na 12. sjednici Općinskog vijeća održanoj dana 10. travnja 2006. godine.</w:t>
            </w:r>
          </w:p>
          <w:p w:rsidR="00CD32BE" w:rsidRDefault="008C1E0E">
            <w:pPr>
              <w:spacing w:after="0" w:line="240" w:lineRule="auto"/>
              <w:ind w:firstLine="567"/>
              <w:jc w:val="both"/>
              <w:outlineLvl w:val="1"/>
              <w:rPr>
                <w:rFonts w:ascii="Garamond" w:hAnsi="Garamond"/>
                <w:szCs w:val="22"/>
                <w:lang w:val="hr-HR"/>
              </w:rPr>
            </w:pPr>
            <w:r>
              <w:rPr>
                <w:rFonts w:ascii="Garamond" w:hAnsi="Garamond"/>
                <w:szCs w:val="22"/>
                <w:lang w:val="hr-HR"/>
              </w:rPr>
              <w:t>Odredbe Zakona o zaštiti okoliša kako u vrijeme donošenja Odluke („Narodne novine“, broj 82/94, 198/99) tako niti trenutno važećeg Zakona (</w:t>
            </w:r>
            <w:r>
              <w:rPr>
                <w:rFonts w:ascii="Garamond" w:hAnsi="Garamond"/>
                <w:szCs w:val="22"/>
                <w:lang w:val="hr-HR"/>
              </w:rPr>
              <w:t>„Narodne novine“, broj 80/13, 153/13, 78/15, 12/18, 118/18) nisu mjerodavne za donošenje Odluke te ne mogu biti temelj za određivanje financijskih instrumenata za zaštitu okoliša jer ne propisuje uvođenje ekološke pristojbe niti daju ovlaštenje jedinici lo</w:t>
            </w:r>
            <w:r>
              <w:rPr>
                <w:rFonts w:ascii="Garamond" w:hAnsi="Garamond"/>
                <w:szCs w:val="22"/>
                <w:lang w:val="hr-HR"/>
              </w:rPr>
              <w:t>kalne samouprave za njezino uvođenje, čime je predmetna pristojba nezakonito uvedena. Navedeno potvrđuje i sudska praksa odnosno presuda Visokog upravnog suda donesena dana 11. prosinca 2013. godine (objavljena u „Narodnim novinama“ broj 7/14) u postupku o</w:t>
            </w:r>
            <w:r>
              <w:rPr>
                <w:rFonts w:ascii="Garamond" w:hAnsi="Garamond"/>
                <w:szCs w:val="22"/>
                <w:lang w:val="hr-HR"/>
              </w:rPr>
              <w:t>cjene zakonitosti Odluke o uvođenju ekološke pristojbe koju je donijelo Gradsko vijeće Grada Mali Lošinj (Službene novine Primorsko-goranske županije“, broj 21/2006.).</w:t>
            </w:r>
          </w:p>
          <w:p w:rsidR="00CD32BE" w:rsidRDefault="008C1E0E">
            <w:pPr>
              <w:spacing w:after="0" w:line="240" w:lineRule="auto"/>
              <w:ind w:firstLine="567"/>
              <w:jc w:val="both"/>
              <w:outlineLvl w:val="1"/>
              <w:rPr>
                <w:rFonts w:ascii="Garamond" w:hAnsi="Garamond"/>
                <w:szCs w:val="22"/>
                <w:lang w:val="hr-HR"/>
              </w:rPr>
            </w:pPr>
            <w:r>
              <w:rPr>
                <w:rFonts w:ascii="Garamond" w:hAnsi="Garamond"/>
                <w:szCs w:val="22"/>
                <w:lang w:val="hr-HR"/>
              </w:rPr>
              <w:t>Također u svrhu očuvanja radnih mjesta koja su najteže pogođena korona krizom, a radi da</w:t>
            </w:r>
            <w:r>
              <w:rPr>
                <w:rFonts w:ascii="Garamond" w:hAnsi="Garamond"/>
                <w:szCs w:val="22"/>
                <w:lang w:val="hr-HR"/>
              </w:rPr>
              <w:t>ljnjeg rasterećenja i pomoći, ukidanje ekološke pristojbe jedan je od načina ublažavanja krize uzrokovane korona virusom.</w:t>
            </w:r>
          </w:p>
          <w:p w:rsidR="00CD32BE" w:rsidRDefault="00CD32BE">
            <w:pPr>
              <w:spacing w:after="0" w:line="240" w:lineRule="auto"/>
              <w:jc w:val="both"/>
              <w:outlineLvl w:val="1"/>
              <w:rPr>
                <w:rFonts w:ascii="Garamond" w:hAnsi="Garamond"/>
                <w:szCs w:val="22"/>
                <w:lang w:val="hr-HR"/>
              </w:rPr>
            </w:pP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14.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color w:val="231F20"/>
                <w:szCs w:val="22"/>
              </w:rPr>
              <w:t>veljače</w:t>
            </w:r>
            <w:proofErr w:type="spellEnd"/>
            <w:proofErr w:type="gram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2022.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Prijedlog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odluke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widowControl w:val="0"/>
              <w:tabs>
                <w:tab w:val="left" w:pos="709"/>
                <w:tab w:val="left" w:pos="7088"/>
              </w:tabs>
              <w:spacing w:after="0" w:line="240" w:lineRule="auto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r>
              <w:rPr>
                <w:rFonts w:ascii="Garamond" w:eastAsia="Times New Roman" w:hAnsi="Garamond" w:cs="Arial"/>
                <w:kern w:val="3"/>
                <w:szCs w:val="22"/>
                <w:lang w:val="hr-HR" w:eastAsia="hi-IN" w:bidi="hi-IN"/>
              </w:rPr>
              <w:t>stavljanju izvan snage Odluke o uvođenju i naplati ekološke pristojbe</w:t>
            </w: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Redni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broj</w:t>
            </w:r>
            <w:proofErr w:type="spellEnd"/>
            <w:r>
              <w:rPr>
                <w:rFonts w:ascii="Garamond" w:hAnsi="Garamond"/>
                <w:szCs w:val="22"/>
              </w:rPr>
              <w:t xml:space="preserve"> 25. Plana </w:t>
            </w:r>
            <w:proofErr w:type="spellStart"/>
            <w:r>
              <w:rPr>
                <w:rFonts w:ascii="Garamond" w:hAnsi="Garamond"/>
                <w:szCs w:val="22"/>
              </w:rPr>
              <w:t>savjetovanja</w:t>
            </w:r>
            <w:proofErr w:type="spellEnd"/>
            <w:r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>
              <w:rPr>
                <w:rFonts w:ascii="Garamond" w:hAnsi="Garamond"/>
                <w:szCs w:val="22"/>
              </w:rPr>
              <w:t>javnošću</w:t>
            </w:r>
            <w:proofErr w:type="spellEnd"/>
            <w:r>
              <w:rPr>
                <w:rFonts w:ascii="Garamond" w:hAnsi="Garamond"/>
                <w:szCs w:val="22"/>
              </w:rPr>
              <w:t xml:space="preserve"> u 2021. </w:t>
            </w:r>
            <w:proofErr w:type="spellStart"/>
            <w:r>
              <w:rPr>
                <w:rFonts w:ascii="Garamond" w:hAnsi="Garamond"/>
                <w:szCs w:val="22"/>
              </w:rPr>
              <w:t>godini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Jedinstveni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upravni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odjel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Punat</w:t>
            </w:r>
            <w:proofErr w:type="spellEnd"/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szCs w:val="22"/>
              </w:rPr>
              <w:t>Odsjek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za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financije</w:t>
            </w:r>
            <w:proofErr w:type="spellEnd"/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szCs w:val="22"/>
              </w:rPr>
              <w:t>društvene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imovinsko-pravne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poslove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rad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zainteresiranih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CD32BE">
            <w:pPr>
              <w:rPr>
                <w:rFonts w:ascii="Garamond" w:hAnsi="Garamond"/>
                <w:b/>
                <w:szCs w:val="22"/>
              </w:rPr>
            </w:pPr>
          </w:p>
          <w:p w:rsidR="00CD32BE" w:rsidRDefault="00CD32BE">
            <w:pPr>
              <w:rPr>
                <w:rFonts w:ascii="Garamond" w:hAnsi="Garamond"/>
                <w:b/>
                <w:szCs w:val="22"/>
              </w:rPr>
            </w:pPr>
          </w:p>
          <w:p w:rsidR="00CD32BE" w:rsidRDefault="00CD32BE">
            <w:pPr>
              <w:rPr>
                <w:rFonts w:ascii="Garamond" w:hAnsi="Garamond"/>
                <w:b/>
                <w:szCs w:val="22"/>
              </w:rPr>
            </w:pPr>
          </w:p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:rsidR="00CD32BE" w:rsidRDefault="00CD32BE">
            <w:pPr>
              <w:rPr>
                <w:rFonts w:ascii="Garamond" w:hAnsi="Garamond"/>
                <w:b/>
                <w:szCs w:val="22"/>
              </w:rPr>
            </w:pPr>
          </w:p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</w:t>
            </w:r>
            <w:r>
              <w:rPr>
                <w:rFonts w:ascii="Garamond" w:hAnsi="Garamond"/>
                <w:b/>
                <w:szCs w:val="22"/>
              </w:rPr>
              <w:t>vanje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CD32BE">
            <w:pPr>
              <w:rPr>
                <w:rFonts w:ascii="Garamond" w:hAnsi="Garamond"/>
                <w:szCs w:val="22"/>
              </w:rPr>
            </w:pPr>
          </w:p>
          <w:p w:rsidR="00CD32BE" w:rsidRDefault="00CD32BE">
            <w:pPr>
              <w:rPr>
                <w:rFonts w:ascii="Garamond" w:hAnsi="Garamond"/>
                <w:szCs w:val="22"/>
              </w:rPr>
            </w:pPr>
          </w:p>
          <w:p w:rsidR="00CD32BE" w:rsidRDefault="00CD32BE">
            <w:pPr>
              <w:rPr>
                <w:rFonts w:ascii="Garamond" w:hAnsi="Garamond"/>
                <w:szCs w:val="22"/>
              </w:rPr>
            </w:pPr>
          </w:p>
          <w:p w:rsidR="00CD32BE" w:rsidRDefault="008C1E0E"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szCs w:val="22"/>
              </w:rPr>
              <w:t xml:space="preserve"> bio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službenoj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Punat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hyperlink r:id="rId6" w:history="1">
              <w:r>
                <w:rPr>
                  <w:rStyle w:val="Hyperlink"/>
                  <w:rFonts w:ascii="Garamond" w:hAnsi="Garamond"/>
                  <w:szCs w:val="22"/>
                </w:rPr>
                <w:t>www.punat.hr</w:t>
              </w:r>
            </w:hyperlink>
            <w:r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CD32BE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dana</w:t>
            </w:r>
            <w:proofErr w:type="spellEnd"/>
            <w:r>
              <w:rPr>
                <w:rFonts w:ascii="Garamond" w:hAnsi="Garamond"/>
                <w:szCs w:val="22"/>
              </w:rPr>
              <w:t xml:space="preserve"> 31. </w:t>
            </w:r>
            <w:proofErr w:type="spellStart"/>
            <w:proofErr w:type="gramStart"/>
            <w:r>
              <w:rPr>
                <w:rFonts w:ascii="Garamond" w:hAnsi="Garamond"/>
                <w:szCs w:val="22"/>
              </w:rPr>
              <w:t>prosinca</w:t>
            </w:r>
            <w:proofErr w:type="spellEnd"/>
            <w:proofErr w:type="gramEnd"/>
            <w:r>
              <w:rPr>
                <w:rFonts w:ascii="Garamond" w:hAnsi="Garamond"/>
                <w:szCs w:val="22"/>
              </w:rPr>
              <w:t xml:space="preserve"> 2021.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: </w:t>
            </w:r>
            <w:hyperlink r:id="rId7" w:history="1">
              <w:r>
                <w:rPr>
                  <w:rStyle w:val="Hyperlink"/>
                  <w:rFonts w:ascii="Garamond" w:hAnsi="Garamond"/>
                  <w:szCs w:val="22"/>
                </w:rPr>
                <w:t>https://www.punat.hr/node/1807</w:t>
              </w:r>
            </w:hyperlink>
            <w:r>
              <w:rPr>
                <w:rFonts w:ascii="Garamond" w:hAnsi="Garamond"/>
                <w:szCs w:val="22"/>
              </w:rPr>
              <w:t xml:space="preserve"> </w:t>
            </w:r>
          </w:p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otvoreno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od</w:t>
            </w:r>
            <w:proofErr w:type="spellEnd"/>
            <w:r>
              <w:rPr>
                <w:rFonts w:ascii="Garamond" w:hAnsi="Garamond"/>
                <w:szCs w:val="22"/>
              </w:rPr>
              <w:t xml:space="preserve"> 31. </w:t>
            </w:r>
            <w:proofErr w:type="spellStart"/>
            <w:proofErr w:type="gramStart"/>
            <w:r>
              <w:rPr>
                <w:rFonts w:ascii="Garamond" w:hAnsi="Garamond"/>
                <w:szCs w:val="22"/>
              </w:rPr>
              <w:t>prosinca</w:t>
            </w:r>
            <w:proofErr w:type="spellEnd"/>
            <w:proofErr w:type="gramEnd"/>
            <w:r>
              <w:rPr>
                <w:rFonts w:ascii="Garamond" w:hAnsi="Garamond"/>
                <w:szCs w:val="22"/>
              </w:rPr>
              <w:t xml:space="preserve"> 2021. </w:t>
            </w:r>
            <w:proofErr w:type="spellStart"/>
            <w:proofErr w:type="gram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>
              <w:rPr>
                <w:rFonts w:ascii="Garamond" w:hAnsi="Garamond"/>
                <w:szCs w:val="22"/>
              </w:rPr>
              <w:t xml:space="preserve"> do 31. </w:t>
            </w:r>
            <w:proofErr w:type="spellStart"/>
            <w:proofErr w:type="gramStart"/>
            <w:r>
              <w:rPr>
                <w:rFonts w:ascii="Garamond" w:hAnsi="Garamond"/>
                <w:szCs w:val="22"/>
              </w:rPr>
              <w:t>siječnja</w:t>
            </w:r>
            <w:proofErr w:type="spellEnd"/>
            <w:proofErr w:type="gram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proofErr w:type="gram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CD32BE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CD32BE">
            <w:pPr>
              <w:rPr>
                <w:rFonts w:ascii="Garamond" w:hAnsi="Garamond"/>
                <w:i/>
                <w:szCs w:val="22"/>
              </w:rPr>
            </w:pPr>
          </w:p>
          <w:p w:rsidR="00CD32BE" w:rsidRDefault="008C1E0E">
            <w:pPr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primjenjivo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Nitko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dostavio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očitovanje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CD32BE" w:rsidRDefault="008C1E0E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CD32BE" w:rsidRDefault="008C1E0E"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primjenjivo</w:t>
            </w:r>
            <w:proofErr w:type="spellEnd"/>
          </w:p>
        </w:tc>
      </w:tr>
      <w:tr w:rsidR="00CD32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E" w:rsidRDefault="008C1E0E">
            <w:pPr>
              <w:spacing w:after="0" w:line="240" w:lineRule="auto"/>
            </w:pPr>
            <w:r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 xml:space="preserve">Provedba javnog savjetovanja </w:t>
            </w:r>
            <w:r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nije iziskivala dodatne financijske troškove.</w:t>
            </w:r>
          </w:p>
        </w:tc>
      </w:tr>
    </w:tbl>
    <w:p w:rsidR="00CD32BE" w:rsidRDefault="00CD32BE">
      <w:pPr>
        <w:rPr>
          <w:szCs w:val="22"/>
        </w:rPr>
      </w:pPr>
    </w:p>
    <w:p w:rsidR="00CD32BE" w:rsidRDefault="00CD32BE">
      <w:pPr>
        <w:rPr>
          <w:szCs w:val="22"/>
        </w:rPr>
      </w:pPr>
    </w:p>
    <w:sectPr w:rsidR="00CD32BE" w:rsidSect="00CD32BE">
      <w:pgSz w:w="11907" w:h="16839"/>
      <w:pgMar w:top="709" w:right="1417" w:bottom="28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0E" w:rsidRDefault="008C1E0E" w:rsidP="00CD32BE">
      <w:pPr>
        <w:spacing w:after="0" w:line="240" w:lineRule="auto"/>
      </w:pPr>
      <w:r>
        <w:separator/>
      </w:r>
    </w:p>
  </w:endnote>
  <w:endnote w:type="continuationSeparator" w:id="0">
    <w:p w:rsidR="008C1E0E" w:rsidRDefault="008C1E0E" w:rsidP="00CD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 (Founder Extended)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0E" w:rsidRDefault="008C1E0E" w:rsidP="00CD32BE">
      <w:pPr>
        <w:spacing w:after="0" w:line="240" w:lineRule="auto"/>
      </w:pPr>
      <w:r w:rsidRPr="00CD32BE">
        <w:rPr>
          <w:color w:val="000000"/>
        </w:rPr>
        <w:separator/>
      </w:r>
    </w:p>
  </w:footnote>
  <w:footnote w:type="continuationSeparator" w:id="0">
    <w:p w:rsidR="008C1E0E" w:rsidRDefault="008C1E0E" w:rsidP="00CD3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BE"/>
    <w:rsid w:val="008C1E0E"/>
    <w:rsid w:val="00CD32BE"/>
    <w:rsid w:val="00D1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32BE"/>
    <w:pPr>
      <w:suppressAutoHyphens/>
      <w:spacing w:after="200" w:line="276" w:lineRule="auto"/>
    </w:pPr>
    <w:rPr>
      <w:rFonts w:ascii="Arial Narrow" w:hAnsi="Arial Narrow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32BE"/>
    <w:rPr>
      <w:color w:val="0563C1"/>
      <w:u w:val="single"/>
    </w:rPr>
  </w:style>
  <w:style w:type="paragraph" w:styleId="BodyText">
    <w:name w:val="Body Text"/>
    <w:basedOn w:val="Normal"/>
    <w:rsid w:val="00CD32BE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rsid w:val="00CD32BE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nat.hr/node/18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ankarabaic</cp:lastModifiedBy>
  <cp:revision>2</cp:revision>
  <cp:lastPrinted>2022-02-15T09:32:00Z</cp:lastPrinted>
  <dcterms:created xsi:type="dcterms:W3CDTF">2022-02-15T10:20:00Z</dcterms:created>
  <dcterms:modified xsi:type="dcterms:W3CDTF">2022-02-15T10:20:00Z</dcterms:modified>
</cp:coreProperties>
</file>