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1" w:type="dxa"/>
        <w:tblLook w:val="04A0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0013D2" w:rsidP="000013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I. </w:t>
            </w:r>
            <w:proofErr w:type="spellStart"/>
            <w:r>
              <w:rPr>
                <w:rFonts w:ascii="Garamond" w:hAnsi="Garamond"/>
              </w:rPr>
              <w:t>Izmjena</w:t>
            </w:r>
            <w:proofErr w:type="spellEnd"/>
            <w:r w:rsidR="00DA4A27">
              <w:rPr>
                <w:rFonts w:ascii="Garamond" w:hAnsi="Garamond"/>
              </w:rPr>
              <w:t xml:space="preserve"> i </w:t>
            </w:r>
            <w:proofErr w:type="spellStart"/>
            <w:r w:rsidR="00DA4A27">
              <w:rPr>
                <w:rFonts w:ascii="Garamond" w:hAnsi="Garamond"/>
              </w:rPr>
              <w:t>dopun</w:t>
            </w:r>
            <w:r>
              <w:rPr>
                <w:rFonts w:ascii="Garamond" w:hAnsi="Garamond"/>
              </w:rPr>
              <w:t>a</w:t>
            </w:r>
            <w:proofErr w:type="spellEnd"/>
            <w:r w:rsidR="00DA4A27">
              <w:rPr>
                <w:rFonts w:ascii="Garamond" w:hAnsi="Garamond"/>
              </w:rPr>
              <w:t xml:space="preserve"> </w:t>
            </w:r>
            <w:r w:rsidR="00E16C52" w:rsidRPr="0012688D">
              <w:rPr>
                <w:rFonts w:ascii="Garamond" w:hAnsi="Garamond"/>
              </w:rPr>
              <w:t>Plan</w:t>
            </w:r>
            <w:r w:rsidR="00DA4A27">
              <w:rPr>
                <w:rFonts w:ascii="Garamond" w:hAnsi="Garamond"/>
              </w:rPr>
              <w:t>a</w:t>
            </w:r>
            <w:r w:rsidR="00E16C52" w:rsidRPr="0012688D">
              <w:rPr>
                <w:rFonts w:ascii="Garamond" w:hAnsi="Garamond"/>
              </w:rPr>
              <w:t xml:space="preserve"> </w:t>
            </w:r>
            <w:proofErr w:type="spellStart"/>
            <w:r w:rsidR="00E16C52" w:rsidRPr="0012688D">
              <w:rPr>
                <w:rFonts w:ascii="Garamond" w:hAnsi="Garamond"/>
              </w:rPr>
              <w:t>upravljanja</w:t>
            </w:r>
            <w:proofErr w:type="spellEnd"/>
            <w:r w:rsidR="00E16C52" w:rsidRPr="0012688D">
              <w:rPr>
                <w:rFonts w:ascii="Garamond" w:hAnsi="Garamond"/>
              </w:rPr>
              <w:t xml:space="preserve"> </w:t>
            </w:r>
            <w:proofErr w:type="spellStart"/>
            <w:r w:rsidR="00E16C52" w:rsidRPr="0012688D">
              <w:rPr>
                <w:rFonts w:ascii="Garamond" w:hAnsi="Garamond"/>
              </w:rPr>
              <w:t>pomorskim</w:t>
            </w:r>
            <w:proofErr w:type="spellEnd"/>
            <w:r w:rsidR="00E16C52" w:rsidRPr="0012688D">
              <w:rPr>
                <w:rFonts w:ascii="Garamond" w:hAnsi="Garamond"/>
              </w:rPr>
              <w:t xml:space="preserve"> </w:t>
            </w:r>
            <w:proofErr w:type="spellStart"/>
            <w:r w:rsidR="00E16C52" w:rsidRPr="0012688D">
              <w:rPr>
                <w:rFonts w:ascii="Garamond" w:hAnsi="Garamond"/>
              </w:rPr>
              <w:t>dobrom</w:t>
            </w:r>
            <w:proofErr w:type="spellEnd"/>
            <w:r w:rsidR="00E16C52" w:rsidRPr="0012688D">
              <w:rPr>
                <w:rFonts w:ascii="Garamond" w:hAnsi="Garamond"/>
              </w:rPr>
              <w:t xml:space="preserve"> </w:t>
            </w:r>
            <w:proofErr w:type="spellStart"/>
            <w:r w:rsidR="00E16C52" w:rsidRPr="0012688D">
              <w:rPr>
                <w:rFonts w:ascii="Garamond" w:hAnsi="Garamond"/>
              </w:rPr>
              <w:t>na</w:t>
            </w:r>
            <w:proofErr w:type="spellEnd"/>
            <w:r w:rsidR="00E16C52" w:rsidRPr="0012688D">
              <w:rPr>
                <w:rFonts w:ascii="Garamond" w:hAnsi="Garamond"/>
              </w:rPr>
              <w:t xml:space="preserve"> </w:t>
            </w:r>
            <w:proofErr w:type="spellStart"/>
            <w:r w:rsidR="00E16C52" w:rsidRPr="0012688D">
              <w:rPr>
                <w:rFonts w:ascii="Garamond" w:hAnsi="Garamond"/>
              </w:rPr>
              <w:t>području</w:t>
            </w:r>
            <w:proofErr w:type="spellEnd"/>
            <w:r w:rsidR="00E16C52" w:rsidRPr="0012688D">
              <w:rPr>
                <w:rFonts w:ascii="Garamond" w:hAnsi="Garamond"/>
              </w:rPr>
              <w:t xml:space="preserve"> </w:t>
            </w:r>
            <w:proofErr w:type="spellStart"/>
            <w:r w:rsidR="00E16C52" w:rsidRPr="0012688D">
              <w:rPr>
                <w:rFonts w:ascii="Garamond" w:hAnsi="Garamond"/>
              </w:rPr>
              <w:t>Općine</w:t>
            </w:r>
            <w:proofErr w:type="spellEnd"/>
            <w:r w:rsidR="00E16C52" w:rsidRPr="0012688D">
              <w:rPr>
                <w:rFonts w:ascii="Garamond" w:hAnsi="Garamond"/>
              </w:rPr>
              <w:t xml:space="preserve"> Punat za 2021. </w:t>
            </w:r>
            <w:proofErr w:type="spellStart"/>
            <w:r w:rsidR="00E16C52"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Općin</w:t>
            </w:r>
            <w:r w:rsidR="001B2755">
              <w:rPr>
                <w:rFonts w:ascii="Garamond" w:hAnsi="Garamond"/>
              </w:rPr>
              <w:t>ski</w:t>
            </w:r>
            <w:proofErr w:type="spellEnd"/>
            <w:r w:rsidR="001B2755">
              <w:rPr>
                <w:rFonts w:ascii="Garamond" w:hAnsi="Garamond"/>
              </w:rPr>
              <w:t xml:space="preserve"> </w:t>
            </w:r>
            <w:proofErr w:type="spellStart"/>
            <w:r w:rsidR="001B2755">
              <w:rPr>
                <w:rFonts w:ascii="Garamond" w:hAnsi="Garamond"/>
              </w:rPr>
              <w:t>načelnik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DA4A27" w:rsidRDefault="000013D2" w:rsidP="000013D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I. </w:t>
            </w:r>
            <w:proofErr w:type="spellStart"/>
            <w:r>
              <w:rPr>
                <w:rFonts w:ascii="Garamond" w:hAnsi="Garamond"/>
                <w:szCs w:val="22"/>
              </w:rPr>
              <w:t>Izmjenom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dopunom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Plana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upravljanja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pomorskim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dobrom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na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području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Općine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Punat za 2021. </w:t>
            </w:r>
            <w:proofErr w:type="spellStart"/>
            <w:proofErr w:type="gramStart"/>
            <w:r w:rsidR="00DA4A27" w:rsidRPr="00DA4A27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mijenjaju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iznosi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sredstava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redovno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upravljanje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pomorskim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dobrom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te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aktivnosti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na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koje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će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sredstva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utrošiti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Osim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toga,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dodana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su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određena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sredstva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na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ML 4.1. </w:t>
            </w:r>
            <w:proofErr w:type="gramStart"/>
            <w:r w:rsidR="00DA4A27" w:rsidRPr="00DA4A27">
              <w:rPr>
                <w:rFonts w:ascii="Garamond" w:hAnsi="Garamond"/>
                <w:szCs w:val="22"/>
              </w:rPr>
              <w:t>i</w:t>
            </w:r>
            <w:proofErr w:type="gramEnd"/>
            <w:r w:rsidR="00DA4A27" w:rsidRPr="00DA4A27">
              <w:rPr>
                <w:rFonts w:ascii="Garamond" w:hAnsi="Garamond"/>
                <w:szCs w:val="22"/>
              </w:rPr>
              <w:t xml:space="preserve"> 4.8.,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sukladno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zaprimljenim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DA4A27" w:rsidRPr="00DA4A27">
              <w:rPr>
                <w:rFonts w:ascii="Garamond" w:hAnsi="Garamond"/>
                <w:szCs w:val="22"/>
              </w:rPr>
              <w:t>zahtjevima</w:t>
            </w:r>
            <w:proofErr w:type="spellEnd"/>
            <w:r w:rsidR="00DA4A27" w:rsidRPr="00DA4A27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5F1A47" w:rsidP="000013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  <w:r w:rsidR="007C6FDC" w:rsidRPr="000013D2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013D2" w:rsidRPr="000013D2">
              <w:rPr>
                <w:rFonts w:ascii="Garamond" w:hAnsi="Garamond"/>
              </w:rPr>
              <w:t>travnja</w:t>
            </w:r>
            <w:proofErr w:type="spellEnd"/>
            <w:proofErr w:type="gramEnd"/>
            <w:r w:rsidR="007C6FDC" w:rsidRPr="000013D2">
              <w:rPr>
                <w:rFonts w:ascii="Garamond" w:hAnsi="Garamond"/>
              </w:rPr>
              <w:t xml:space="preserve"> 202</w:t>
            </w:r>
            <w:r w:rsidR="00DA4A27" w:rsidRPr="000013D2">
              <w:rPr>
                <w:rFonts w:ascii="Garamond" w:hAnsi="Garamond"/>
              </w:rPr>
              <w:t>1</w:t>
            </w:r>
            <w:r w:rsidR="007C6FDC" w:rsidRPr="000013D2">
              <w:rPr>
                <w:rFonts w:ascii="Garamond" w:hAnsi="Garamond"/>
              </w:rPr>
              <w:t xml:space="preserve">. </w:t>
            </w:r>
            <w:proofErr w:type="spellStart"/>
            <w:r w:rsidR="007C6FDC" w:rsidRPr="000013D2">
              <w:rPr>
                <w:rFonts w:ascii="Garamond" w:hAnsi="Garamond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:rsidR="0085098C" w:rsidRPr="0012688D" w:rsidRDefault="00DA4A27" w:rsidP="000013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I. </w:t>
            </w:r>
            <w:proofErr w:type="spellStart"/>
            <w:r>
              <w:rPr>
                <w:rFonts w:ascii="Garamond" w:hAnsi="Garamond"/>
              </w:rPr>
              <w:t>Izmjen</w:t>
            </w:r>
            <w:r w:rsidR="000013D2">
              <w:rPr>
                <w:rFonts w:ascii="Garamond" w:hAnsi="Garamond"/>
              </w:rPr>
              <w:t>a</w:t>
            </w:r>
            <w:proofErr w:type="spellEnd"/>
            <w:r>
              <w:rPr>
                <w:rFonts w:ascii="Garamond" w:hAnsi="Garamond"/>
              </w:rPr>
              <w:t xml:space="preserve"> i </w:t>
            </w:r>
            <w:proofErr w:type="spellStart"/>
            <w:r>
              <w:rPr>
                <w:rFonts w:ascii="Garamond" w:hAnsi="Garamond"/>
              </w:rPr>
              <w:t>dopun</w:t>
            </w:r>
            <w:r w:rsidR="000013D2">
              <w:rPr>
                <w:rFonts w:ascii="Garamond" w:hAnsi="Garamond"/>
              </w:rPr>
              <w:t>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2688D" w:rsidRPr="0012688D">
              <w:rPr>
                <w:rFonts w:ascii="Garamond" w:hAnsi="Garamond"/>
              </w:rPr>
              <w:t>Plan</w:t>
            </w:r>
            <w:r>
              <w:rPr>
                <w:rFonts w:ascii="Garamond" w:hAnsi="Garamond"/>
              </w:rPr>
              <w:t>a</w:t>
            </w:r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upravljanja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pomorskim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dobrom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području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Općine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Punat za 2021. </w:t>
            </w:r>
            <w:proofErr w:type="spellStart"/>
            <w:r w:rsidR="0012688D"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12688D" w:rsidRDefault="0012688D" w:rsidP="0012688D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Punat, </w:t>
            </w:r>
            <w:proofErr w:type="spellStart"/>
            <w:r w:rsidRPr="0012688D">
              <w:rPr>
                <w:rFonts w:ascii="Garamond" w:hAnsi="Garamond"/>
              </w:rPr>
              <w:t>Odsjek</w:t>
            </w:r>
            <w:proofErr w:type="spellEnd"/>
            <w:r w:rsidRPr="0012688D">
              <w:rPr>
                <w:rFonts w:ascii="Garamond" w:hAnsi="Garamond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</w:rPr>
              <w:t>financije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društvene</w:t>
            </w:r>
            <w:proofErr w:type="spellEnd"/>
            <w:r w:rsidRPr="0012688D">
              <w:rPr>
                <w:rFonts w:ascii="Garamond" w:hAnsi="Garamond"/>
              </w:rPr>
              <w:t xml:space="preserve"> i </w:t>
            </w:r>
            <w:proofErr w:type="spellStart"/>
            <w:r w:rsidRPr="0012688D">
              <w:rPr>
                <w:rFonts w:ascii="Garamond" w:hAnsi="Garamond"/>
              </w:rPr>
              <w:t>imovinsko-pravne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poslove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rad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</w:t>
            </w:r>
            <w:proofErr w:type="spellStart"/>
            <w:r w:rsidRPr="00012C73">
              <w:rPr>
                <w:rFonts w:ascii="Garamond" w:hAnsi="Garamond"/>
                <w:b/>
              </w:rPr>
              <w:t>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12688D" w:rsidRDefault="00E16C52" w:rsidP="0085098C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:rsidR="00E16C52" w:rsidRDefault="00E16C52" w:rsidP="0085098C">
            <w:pPr>
              <w:rPr>
                <w:rFonts w:ascii="Garamond" w:hAnsi="Garamond"/>
              </w:rPr>
            </w:pPr>
          </w:p>
          <w:p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12688D" w:rsidRDefault="00E16C52" w:rsidP="005F1A47">
            <w:pPr>
              <w:rPr>
                <w:rFonts w:ascii="Garamond" w:hAnsi="Garamond"/>
              </w:rPr>
            </w:pPr>
            <w:proofErr w:type="spellStart"/>
            <w:r w:rsidRPr="000013D2">
              <w:rPr>
                <w:rFonts w:ascii="Garamond" w:hAnsi="Garamond"/>
              </w:rPr>
              <w:t>Nacrt</w:t>
            </w:r>
            <w:proofErr w:type="spellEnd"/>
            <w:r w:rsidRPr="000013D2">
              <w:rPr>
                <w:rFonts w:ascii="Garamond" w:hAnsi="Garamond"/>
              </w:rPr>
              <w:t xml:space="preserve"> je </w:t>
            </w:r>
            <w:proofErr w:type="spellStart"/>
            <w:r w:rsidRPr="000013D2">
              <w:rPr>
                <w:rFonts w:ascii="Garamond" w:hAnsi="Garamond"/>
              </w:rPr>
              <w:t>objavljen</w:t>
            </w:r>
            <w:proofErr w:type="spellEnd"/>
            <w:r w:rsidRPr="000013D2">
              <w:rPr>
                <w:rFonts w:ascii="Garamond" w:hAnsi="Garamond"/>
              </w:rPr>
              <w:t xml:space="preserve"> </w:t>
            </w:r>
            <w:proofErr w:type="spellStart"/>
            <w:r w:rsidRPr="000013D2">
              <w:rPr>
                <w:rFonts w:ascii="Garamond" w:hAnsi="Garamond"/>
              </w:rPr>
              <w:t>da</w:t>
            </w:r>
            <w:r w:rsidR="005F1A47">
              <w:rPr>
                <w:rFonts w:ascii="Garamond" w:hAnsi="Garamond"/>
              </w:rPr>
              <w:t>na</w:t>
            </w:r>
            <w:proofErr w:type="spellEnd"/>
            <w:r w:rsidR="005F1A47">
              <w:rPr>
                <w:rFonts w:ascii="Garamond" w:hAnsi="Garamond"/>
              </w:rPr>
              <w:t xml:space="preserve"> 19</w:t>
            </w:r>
            <w:r w:rsidR="0012688D" w:rsidRPr="000013D2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013D2" w:rsidRPr="000013D2">
              <w:rPr>
                <w:rFonts w:ascii="Garamond" w:hAnsi="Garamond"/>
              </w:rPr>
              <w:t>travnja</w:t>
            </w:r>
            <w:proofErr w:type="spellEnd"/>
            <w:proofErr w:type="gramEnd"/>
            <w:r w:rsidR="0012688D" w:rsidRPr="000013D2">
              <w:rPr>
                <w:rFonts w:ascii="Garamond" w:hAnsi="Garamond"/>
              </w:rPr>
              <w:t xml:space="preserve"> 202</w:t>
            </w:r>
            <w:r w:rsidR="000013D2" w:rsidRPr="000013D2">
              <w:rPr>
                <w:rFonts w:ascii="Garamond" w:hAnsi="Garamond"/>
              </w:rPr>
              <w:t>1</w:t>
            </w:r>
            <w:r w:rsidR="0012688D" w:rsidRPr="000013D2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12688D" w:rsidRPr="000013D2">
              <w:rPr>
                <w:rFonts w:ascii="Garamond" w:hAnsi="Garamond"/>
              </w:rPr>
              <w:t>godine</w:t>
            </w:r>
            <w:proofErr w:type="spellEnd"/>
            <w:proofErr w:type="gramEnd"/>
            <w:r w:rsidR="0012688D" w:rsidRPr="000013D2">
              <w:rPr>
                <w:rFonts w:ascii="Garamond" w:hAnsi="Garamond"/>
              </w:rPr>
              <w:t xml:space="preserve"> </w:t>
            </w:r>
            <w:proofErr w:type="spellStart"/>
            <w:r w:rsidR="0012688D" w:rsidRPr="000013D2">
              <w:rPr>
                <w:rFonts w:ascii="Garamond" w:hAnsi="Garamond"/>
              </w:rPr>
              <w:t>na</w:t>
            </w:r>
            <w:proofErr w:type="spellEnd"/>
            <w:r w:rsidR="0012688D" w:rsidRPr="000013D2">
              <w:rPr>
                <w:rFonts w:ascii="Garamond" w:hAnsi="Garamond"/>
              </w:rPr>
              <w:t xml:space="preserve"> </w:t>
            </w:r>
            <w:r w:rsidR="001B2755" w:rsidRPr="000013D2">
              <w:rPr>
                <w:rFonts w:ascii="Garamond" w:hAnsi="Garamond"/>
              </w:rPr>
              <w:t>web</w:t>
            </w:r>
            <w:r w:rsidRPr="000013D2">
              <w:rPr>
                <w:rFonts w:ascii="Garamond" w:hAnsi="Garamond"/>
              </w:rPr>
              <w:t xml:space="preserve"> </w:t>
            </w:r>
            <w:proofErr w:type="spellStart"/>
            <w:r w:rsidRPr="000013D2">
              <w:rPr>
                <w:rFonts w:ascii="Garamond" w:hAnsi="Garamond"/>
              </w:rPr>
              <w:t>stranici</w:t>
            </w:r>
            <w:proofErr w:type="spellEnd"/>
            <w:r w:rsidRPr="000013D2">
              <w:rPr>
                <w:rFonts w:ascii="Garamond" w:hAnsi="Garamond"/>
              </w:rPr>
              <w:t xml:space="preserve">: </w:t>
            </w:r>
            <w:hyperlink r:id="rId5" w:history="1">
              <w:r w:rsidRPr="000013D2">
                <w:rPr>
                  <w:rStyle w:val="Hyperlink"/>
                  <w:rFonts w:ascii="Garamond" w:hAnsi="Garamond"/>
                </w:rPr>
                <w:t>www.punat.hr</w:t>
              </w:r>
            </w:hyperlink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r w:rsidRPr="000013D2">
              <w:rPr>
                <w:rFonts w:ascii="Garamond" w:hAnsi="Garamond"/>
              </w:rPr>
              <w:t>Savjetovanje</w:t>
            </w:r>
            <w:proofErr w:type="spellEnd"/>
            <w:r w:rsidRPr="000013D2">
              <w:rPr>
                <w:rFonts w:ascii="Garamond" w:hAnsi="Garamond"/>
              </w:rPr>
              <w:t xml:space="preserve"> je </w:t>
            </w:r>
            <w:proofErr w:type="spellStart"/>
            <w:r w:rsidRPr="000013D2">
              <w:rPr>
                <w:rFonts w:ascii="Garamond" w:hAnsi="Garamond"/>
              </w:rPr>
              <w:t>bilo</w:t>
            </w:r>
            <w:proofErr w:type="spellEnd"/>
            <w:r w:rsidRPr="000013D2">
              <w:rPr>
                <w:rFonts w:ascii="Garamond" w:hAnsi="Garamond"/>
              </w:rPr>
              <w:t xml:space="preserve"> </w:t>
            </w:r>
            <w:proofErr w:type="spellStart"/>
            <w:r w:rsidRPr="000013D2">
              <w:rPr>
                <w:rFonts w:ascii="Garamond" w:hAnsi="Garamond"/>
              </w:rPr>
              <w:t>otvoreno</w:t>
            </w:r>
            <w:proofErr w:type="spellEnd"/>
            <w:r w:rsidRPr="000013D2">
              <w:rPr>
                <w:rFonts w:ascii="Garamond" w:hAnsi="Garamond"/>
              </w:rPr>
              <w:t xml:space="preserve"> </w:t>
            </w:r>
            <w:proofErr w:type="spellStart"/>
            <w:r w:rsidRPr="000013D2">
              <w:rPr>
                <w:rFonts w:ascii="Garamond" w:hAnsi="Garamond"/>
              </w:rPr>
              <w:t>od</w:t>
            </w:r>
            <w:proofErr w:type="spellEnd"/>
            <w:r w:rsidRPr="000013D2">
              <w:rPr>
                <w:rFonts w:ascii="Garamond" w:hAnsi="Garamond"/>
              </w:rPr>
              <w:t xml:space="preserve"> </w:t>
            </w:r>
            <w:r w:rsidR="005F1A47">
              <w:rPr>
                <w:rFonts w:ascii="Garamond" w:hAnsi="Garamond"/>
              </w:rPr>
              <w:t>19</w:t>
            </w:r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5F1A47">
              <w:rPr>
                <w:rFonts w:ascii="Garamond" w:hAnsi="Garamond"/>
              </w:rPr>
              <w:t>travnja</w:t>
            </w:r>
            <w:proofErr w:type="spellEnd"/>
            <w:proofErr w:type="gramEnd"/>
            <w:r w:rsidR="005F1A47">
              <w:rPr>
                <w:rFonts w:ascii="Garamond" w:hAnsi="Garamond"/>
              </w:rPr>
              <w:t xml:space="preserve"> </w:t>
            </w:r>
            <w:r w:rsidRPr="000013D2">
              <w:rPr>
                <w:rFonts w:ascii="Garamond" w:hAnsi="Garamond"/>
              </w:rPr>
              <w:t xml:space="preserve">do </w:t>
            </w:r>
            <w:r w:rsidR="005F1A47">
              <w:rPr>
                <w:rFonts w:ascii="Garamond" w:hAnsi="Garamond"/>
              </w:rPr>
              <w:t>1</w:t>
            </w:r>
            <w:r w:rsidR="00357EC2">
              <w:rPr>
                <w:rFonts w:ascii="Garamond" w:hAnsi="Garamond"/>
              </w:rPr>
              <w:t>0</w:t>
            </w:r>
            <w:r w:rsidRPr="000013D2">
              <w:rPr>
                <w:rFonts w:ascii="Garamond" w:hAnsi="Garamond"/>
              </w:rPr>
              <w:t xml:space="preserve">. </w:t>
            </w:r>
            <w:r w:rsidR="005F1A47">
              <w:rPr>
                <w:rFonts w:ascii="Garamond" w:hAnsi="Garamond"/>
              </w:rPr>
              <w:t>svibnja</w:t>
            </w:r>
            <w:r w:rsidRPr="000013D2">
              <w:rPr>
                <w:rFonts w:ascii="Garamond" w:hAnsi="Garamond"/>
              </w:rPr>
              <w:t xml:space="preserve"> 202</w:t>
            </w:r>
            <w:r w:rsidR="000013D2" w:rsidRPr="000013D2">
              <w:rPr>
                <w:rFonts w:ascii="Garamond" w:hAnsi="Garamond"/>
              </w:rPr>
              <w:t>1</w:t>
            </w:r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0013D2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0013D2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12688D" w:rsidRDefault="00E16C52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E16C52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Nitko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dostavio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očitovanje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C077CC" w:rsidRDefault="00012C73" w:rsidP="00C077CC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C077CC" w:rsidRDefault="00012C73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012C73" w:rsidRDefault="00C077CC" w:rsidP="00C077CC">
            <w:pPr>
              <w:rPr>
                <w:rFonts w:ascii="Garamond" w:hAnsi="Garamond"/>
                <w:highlight w:val="yellow"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012C73" w:rsidRDefault="00012C73">
            <w:pPr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098C"/>
    <w:rsid w:val="000013D2"/>
    <w:rsid w:val="00012C73"/>
    <w:rsid w:val="00022961"/>
    <w:rsid w:val="00056915"/>
    <w:rsid w:val="00076A99"/>
    <w:rsid w:val="000B5088"/>
    <w:rsid w:val="0012688D"/>
    <w:rsid w:val="001B2755"/>
    <w:rsid w:val="00357EC2"/>
    <w:rsid w:val="00456397"/>
    <w:rsid w:val="004712A6"/>
    <w:rsid w:val="004E4D6C"/>
    <w:rsid w:val="004F13F1"/>
    <w:rsid w:val="005F1A47"/>
    <w:rsid w:val="00671D7F"/>
    <w:rsid w:val="007019F8"/>
    <w:rsid w:val="007C6FDC"/>
    <w:rsid w:val="00803350"/>
    <w:rsid w:val="0085098C"/>
    <w:rsid w:val="00B23830"/>
    <w:rsid w:val="00BA6711"/>
    <w:rsid w:val="00C077CC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17</cp:revision>
  <dcterms:created xsi:type="dcterms:W3CDTF">2020-11-23T13:08:00Z</dcterms:created>
  <dcterms:modified xsi:type="dcterms:W3CDTF">2021-04-16T10:51:00Z</dcterms:modified>
</cp:coreProperties>
</file>