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Ind w:w="0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BF6B3D" w14:paraId="614DDBD5" w14:textId="77777777" w:rsidTr="00BF6B3D">
        <w:trPr>
          <w:trHeight w:val="567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F7AB3BB" w14:textId="77777777" w:rsidR="00BF6B3D" w:rsidRDefault="00BF6B3D">
            <w:pPr>
              <w:spacing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BF6B3D" w14:paraId="34A9AFDE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F75E7D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884C" w14:textId="614FD557" w:rsidR="00BF6B3D" w:rsidRPr="008572BE" w:rsidRDefault="008572BE">
            <w:pPr>
              <w:pStyle w:val="StandardWeb"/>
              <w:spacing w:before="0" w:after="0"/>
              <w:jc w:val="both"/>
              <w:rPr>
                <w:rFonts w:ascii="Garamond" w:hAnsi="Garamond"/>
                <w:sz w:val="22"/>
                <w:szCs w:val="22"/>
                <w:lang w:val="en-US" w:eastAsia="en-US"/>
              </w:rPr>
            </w:pPr>
            <w:r w:rsidRPr="008572BE">
              <w:rPr>
                <w:rFonts w:ascii="Garamond" w:hAnsi="Garamond"/>
                <w:sz w:val="22"/>
                <w:szCs w:val="22"/>
                <w:lang w:val="hr"/>
              </w:rPr>
              <w:t>Odluka o području i granicama mjesnog odbora te izboru članova vijeća mjesnog odbora na području Općine Punat</w:t>
            </w:r>
          </w:p>
        </w:tc>
      </w:tr>
      <w:tr w:rsidR="00BF6B3D" w14:paraId="3168D78A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CCA379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245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Punat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BF6B3D" w14:paraId="2BA7E628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21A500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2AA" w14:textId="77777777" w:rsidR="00BF6B3D" w:rsidRDefault="00BF6B3D" w:rsidP="00BF6B3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Sukladno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Zaključku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Općinskog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vijeća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Punat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donesenom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na</w:t>
            </w:r>
            <w:proofErr w:type="spellEnd"/>
            <w:r>
              <w:rPr>
                <w:rFonts w:ascii="Garamond" w:hAnsi="Garamond"/>
                <w:szCs w:val="24"/>
              </w:rPr>
              <w:t xml:space="preserve"> 7. </w:t>
            </w:r>
            <w:proofErr w:type="spellStart"/>
            <w:r>
              <w:rPr>
                <w:rFonts w:ascii="Garamond" w:hAnsi="Garamond"/>
                <w:szCs w:val="24"/>
              </w:rPr>
              <w:t>sjednici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održanoj</w:t>
            </w:r>
            <w:proofErr w:type="spellEnd"/>
            <w:r>
              <w:rPr>
                <w:rFonts w:ascii="Garamond" w:hAnsi="Garamond"/>
                <w:szCs w:val="24"/>
              </w:rPr>
              <w:t xml:space="preserve"> dana 12. </w:t>
            </w:r>
            <w:proofErr w:type="spellStart"/>
            <w:r>
              <w:rPr>
                <w:rFonts w:ascii="Garamond" w:hAnsi="Garamond"/>
                <w:szCs w:val="24"/>
              </w:rPr>
              <w:t>travnja</w:t>
            </w:r>
            <w:proofErr w:type="spellEnd"/>
            <w:r>
              <w:rPr>
                <w:rFonts w:ascii="Garamond" w:hAnsi="Garamond"/>
                <w:szCs w:val="24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4"/>
              </w:rPr>
              <w:t>godine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kojim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prihvaćen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prijedlog</w:t>
            </w:r>
            <w:proofErr w:type="spellEnd"/>
            <w:r>
              <w:rPr>
                <w:rFonts w:ascii="Garamond" w:hAnsi="Garamond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Cs w:val="24"/>
              </w:rPr>
              <w:t>osnivanje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Mjesnog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Baška</w:t>
            </w:r>
            <w:proofErr w:type="spellEnd"/>
            <w:r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Cs w:val="24"/>
              </w:rPr>
              <w:t>nužno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usvojiti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Statuta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Punat. </w:t>
            </w:r>
            <w:proofErr w:type="spellStart"/>
            <w:r>
              <w:rPr>
                <w:rFonts w:ascii="Garamond" w:hAnsi="Garamond"/>
                <w:szCs w:val="24"/>
              </w:rPr>
              <w:t>Kako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Statut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više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puta </w:t>
            </w:r>
            <w:proofErr w:type="spellStart"/>
            <w:r>
              <w:rPr>
                <w:rFonts w:ascii="Garamond" w:hAnsi="Garamond"/>
                <w:szCs w:val="24"/>
              </w:rPr>
              <w:t>mijenjan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sukladno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zakonskim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izmjenama</w:t>
            </w:r>
            <w:proofErr w:type="spellEnd"/>
            <w:r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Cs w:val="24"/>
              </w:rPr>
              <w:t>članovi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smatraju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nomotehnički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opravdanim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usvojiti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novi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Statut</w:t>
            </w:r>
            <w:proofErr w:type="spellEnd"/>
            <w:r>
              <w:rPr>
                <w:rFonts w:ascii="Garamond" w:hAnsi="Garamond"/>
                <w:szCs w:val="24"/>
              </w:rPr>
              <w:t xml:space="preserve"> koji </w:t>
            </w:r>
            <w:proofErr w:type="spellStart"/>
            <w:r>
              <w:rPr>
                <w:rFonts w:ascii="Garamond" w:hAnsi="Garamond"/>
                <w:szCs w:val="24"/>
              </w:rPr>
              <w:t>predstavlja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pročišćeni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tekst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važećeg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statuta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izmjenu</w:t>
            </w:r>
            <w:proofErr w:type="spellEnd"/>
            <w:r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Cs w:val="24"/>
              </w:rPr>
              <w:t>smislu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osnivanja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Mjesnog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Baška</w:t>
            </w:r>
            <w:proofErr w:type="spellEnd"/>
            <w:r>
              <w:rPr>
                <w:rFonts w:ascii="Garamond" w:hAnsi="Garamond"/>
                <w:szCs w:val="24"/>
              </w:rPr>
              <w:t>.</w:t>
            </w:r>
          </w:p>
          <w:p w14:paraId="6B7CBE92" w14:textId="73ADEAD7" w:rsidR="00BF6B3D" w:rsidRPr="00BF6B3D" w:rsidRDefault="00BF6B3D" w:rsidP="00BF6B3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BF6B3D" w14:paraId="12CE43B6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35592E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32F3" w14:textId="5BBDED93" w:rsidR="00BF6B3D" w:rsidRDefault="008572BE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lang w:val="hr"/>
              </w:rPr>
              <w:t>20</w:t>
            </w:r>
            <w:r w:rsidRPr="006726A5">
              <w:rPr>
                <w:rFonts w:ascii="Garamond" w:hAnsi="Garamond"/>
                <w:lang w:val="hr"/>
              </w:rPr>
              <w:t xml:space="preserve">.  </w:t>
            </w:r>
            <w:r>
              <w:rPr>
                <w:rFonts w:ascii="Garamond" w:hAnsi="Garamond"/>
                <w:lang w:val="hr"/>
              </w:rPr>
              <w:t>rujna</w:t>
            </w:r>
            <w:r w:rsidRPr="006726A5">
              <w:rPr>
                <w:rFonts w:ascii="Garamond" w:hAnsi="Garamond"/>
                <w:lang w:val="hr"/>
              </w:rPr>
              <w:t xml:space="preserve"> 2022. godine</w:t>
            </w:r>
          </w:p>
        </w:tc>
      </w:tr>
      <w:tr w:rsidR="00BF6B3D" w14:paraId="5A3D7F6B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084FC6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A50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Prijedlog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BF6B3D" w14:paraId="15B62589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4E1C7E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C179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BF6B3D" w14:paraId="36EC5A0E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CAC5CD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F276" w14:textId="25710EDA" w:rsidR="00BF6B3D" w:rsidRDefault="008572BE">
            <w:pPr>
              <w:spacing w:after="0" w:line="240" w:lineRule="auto"/>
              <w:rPr>
                <w:rFonts w:ascii="Garamond" w:hAnsi="Garamond"/>
                <w:szCs w:val="22"/>
              </w:rPr>
            </w:pPr>
            <w:r w:rsidRPr="008572BE">
              <w:rPr>
                <w:rFonts w:ascii="Garamond" w:hAnsi="Garamond"/>
                <w:szCs w:val="22"/>
                <w:lang w:val="hr"/>
              </w:rPr>
              <w:t>Odluka o području i granicama mjesnog odbora te izboru članova vijeća mjesnog odbora na području Općine Punat</w:t>
            </w:r>
          </w:p>
        </w:tc>
      </w:tr>
      <w:tr w:rsidR="00BF6B3D" w14:paraId="6C84CE6C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47A5FA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27F5" w14:textId="77777777" w:rsidR="00BF6B3D" w:rsidRDefault="00BF6B3D">
            <w:pPr>
              <w:spacing w:after="0" w:line="240" w:lineRule="auto"/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BF6B3D" w14:paraId="3AC4A2DE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EFFF25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64C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Punat</w:t>
            </w:r>
            <w:proofErr w:type="spellEnd"/>
          </w:p>
        </w:tc>
      </w:tr>
      <w:tr w:rsidR="00BF6B3D" w14:paraId="5FC220EB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A8EFA6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457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zainteresiranih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BF6B3D" w14:paraId="18D86523" w14:textId="77777777" w:rsidTr="00BF6B3D">
        <w:trPr>
          <w:trHeight w:val="57"/>
        </w:trPr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75C631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14:paraId="02411215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  <w:p w14:paraId="155F5FA9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14:paraId="06E59A70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  <w:p w14:paraId="31625C1B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219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szCs w:val="22"/>
              </w:rPr>
              <w:t xml:space="preserve"> bio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službenoj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Punat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  <w:p w14:paraId="7A7E5E33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</w:p>
          <w:p w14:paraId="5CF0B18D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</w:p>
        </w:tc>
      </w:tr>
      <w:tr w:rsidR="00BF6B3D" w14:paraId="6F8CB295" w14:textId="77777777" w:rsidTr="00BF6B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D4E" w14:textId="77777777" w:rsidR="00BF6B3D" w:rsidRDefault="00BF6B3D">
            <w:pPr>
              <w:autoSpaceDN/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F04" w14:textId="23D6A7F0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dana </w:t>
            </w:r>
            <w:r w:rsidR="008572BE">
              <w:rPr>
                <w:rFonts w:ascii="Garamond" w:hAnsi="Garamond"/>
                <w:szCs w:val="22"/>
              </w:rPr>
              <w:t xml:space="preserve">20. </w:t>
            </w:r>
            <w:proofErr w:type="spellStart"/>
            <w:r w:rsidR="008572BE">
              <w:rPr>
                <w:rFonts w:ascii="Garamond" w:hAnsi="Garamond"/>
                <w:szCs w:val="22"/>
              </w:rPr>
              <w:t>rujna</w:t>
            </w:r>
            <w:proofErr w:type="spell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: </w:t>
            </w:r>
            <w:hyperlink r:id="rId4" w:history="1">
              <w:r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otvoreno</w:t>
            </w:r>
            <w:proofErr w:type="spellEnd"/>
            <w:r>
              <w:rPr>
                <w:rFonts w:ascii="Garamond" w:hAnsi="Garamond"/>
                <w:szCs w:val="22"/>
              </w:rPr>
              <w:t xml:space="preserve"> od </w:t>
            </w:r>
            <w:r w:rsidR="008572BE">
              <w:rPr>
                <w:rFonts w:ascii="Garamond" w:hAnsi="Garamond"/>
                <w:szCs w:val="22"/>
              </w:rPr>
              <w:t>20</w:t>
            </w:r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8572BE">
              <w:rPr>
                <w:rFonts w:ascii="Garamond" w:hAnsi="Garamond"/>
                <w:szCs w:val="22"/>
              </w:rPr>
              <w:t>rujna</w:t>
            </w:r>
            <w:proofErr w:type="spellEnd"/>
            <w:r>
              <w:rPr>
                <w:rFonts w:ascii="Garamond" w:hAnsi="Garamond"/>
                <w:szCs w:val="22"/>
              </w:rPr>
              <w:t xml:space="preserve"> do </w:t>
            </w:r>
            <w:r w:rsidR="008572BE">
              <w:rPr>
                <w:rFonts w:ascii="Garamond" w:hAnsi="Garamond"/>
                <w:szCs w:val="22"/>
              </w:rPr>
              <w:t>20</w:t>
            </w:r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8572BE">
              <w:rPr>
                <w:rFonts w:ascii="Garamond" w:hAnsi="Garamond"/>
                <w:szCs w:val="22"/>
              </w:rPr>
              <w:t>listopada</w:t>
            </w:r>
            <w:proofErr w:type="spell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BF6B3D" w14:paraId="0F452D9D" w14:textId="77777777" w:rsidTr="00BF6B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EEF" w14:textId="77777777" w:rsidR="00BF6B3D" w:rsidRDefault="00BF6B3D">
            <w:pPr>
              <w:autoSpaceDN/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D397" w14:textId="77777777" w:rsidR="00BF6B3D" w:rsidRDefault="00BF6B3D">
            <w:pPr>
              <w:spacing w:after="0" w:line="240" w:lineRule="auto"/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BF6B3D" w14:paraId="2B829840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F386EC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FFC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Nitko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dostavio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očitovanje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BF6B3D" w14:paraId="71149640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1792E9" w14:textId="77777777" w:rsidR="00BF6B3D" w:rsidRDefault="00BF6B3D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3F6BCF4F" w14:textId="77777777" w:rsidR="00BF6B3D" w:rsidRDefault="00BF6B3D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25FCDB4C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  <w:highlight w:val="yellow"/>
              </w:rPr>
            </w:pP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C507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  <w:highlight w:val="yellow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BF6B3D" w14:paraId="43B87DD1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D50711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DB8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17BF89D4" w14:textId="77777777" w:rsidR="00BF6B3D" w:rsidRDefault="00BF6B3D" w:rsidP="00BF6B3D"/>
    <w:sectPr w:rsidR="00BF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3D"/>
    <w:rsid w:val="000A15A9"/>
    <w:rsid w:val="008572BE"/>
    <w:rsid w:val="00B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37B"/>
  <w15:chartTrackingRefBased/>
  <w15:docId w15:val="{7C927107-0CDB-4510-9B4D-D310CD07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3D"/>
    <w:pPr>
      <w:autoSpaceDN w:val="0"/>
      <w:spacing w:after="200" w:line="276" w:lineRule="auto"/>
    </w:pPr>
    <w:rPr>
      <w:rFonts w:ascii="Arial Narrow" w:hAnsi="Arial Narrow" w:cs="Times New Roman"/>
      <w:szCs w:val="23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F6B3D"/>
    <w:rPr>
      <w:color w:val="0563C1" w:themeColor="hyperlink"/>
      <w:u w:val="single"/>
    </w:rPr>
  </w:style>
  <w:style w:type="paragraph" w:styleId="StandardWeb">
    <w:name w:val="Normal (Web)"/>
    <w:basedOn w:val="Normal"/>
    <w:semiHidden/>
    <w:unhideWhenUsed/>
    <w:rsid w:val="00BF6B3D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ijeloteksta">
    <w:name w:val="Body Text"/>
    <w:basedOn w:val="Normal"/>
    <w:link w:val="TijelotekstaChar"/>
    <w:semiHidden/>
    <w:unhideWhenUsed/>
    <w:rsid w:val="00BF6B3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BF6B3D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BF6B3D"/>
    <w:pPr>
      <w:spacing w:after="0" w:line="240" w:lineRule="auto"/>
    </w:pPr>
    <w:rPr>
      <w:rFonts w:ascii="Arial Narrow" w:hAnsi="Arial Narrow" w:cs="Times New Roman"/>
      <w:szCs w:val="23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dcterms:created xsi:type="dcterms:W3CDTF">2022-10-18T06:57:00Z</dcterms:created>
  <dcterms:modified xsi:type="dcterms:W3CDTF">2022-10-18T06:57:00Z</dcterms:modified>
</cp:coreProperties>
</file>