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16F95FA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3E63B04F" w14:textId="77777777"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14:paraId="5B7D01B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0D9520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C2D28A5" w14:textId="629A82DE" w:rsidR="0085098C" w:rsidRPr="0012688D" w:rsidRDefault="00D4707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izmjeni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Odluke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određivanju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plaža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kojima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je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dozvoljeno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dovođenje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kućnih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ljubimaca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(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pasa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)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području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Općine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Punat</w:t>
            </w:r>
          </w:p>
        </w:tc>
      </w:tr>
      <w:tr w:rsidR="0085098C" w14:paraId="46A50E3A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5B751D5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44CB4F11" w14:textId="77777777" w:rsidR="0085098C" w:rsidRPr="0012688D" w:rsidRDefault="000A41E6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Općina</w:t>
            </w:r>
            <w:proofErr w:type="spellEnd"/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Punat</w:t>
            </w:r>
          </w:p>
        </w:tc>
      </w:tr>
      <w:tr w:rsidR="0085098C" w14:paraId="4DC56B2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51F92B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23531D5" w14:textId="6ABBB267" w:rsidR="0085098C" w:rsidRPr="00D47072" w:rsidRDefault="00D47072" w:rsidP="00D47072">
            <w:pPr>
              <w:rPr>
                <w:rFonts w:ascii="Garamond" w:eastAsia="Times New Roman" w:hAnsi="Garamond" w:cs="Arial"/>
                <w:lang w:eastAsia="hr-HR"/>
              </w:rPr>
            </w:pPr>
            <w:r w:rsidRPr="00D47072">
              <w:rPr>
                <w:rFonts w:ascii="Garamond" w:eastAsia="Times New Roman" w:hAnsi="Garamond" w:cs="Arial"/>
                <w:lang w:eastAsia="hr-HR"/>
              </w:rPr>
              <w:t xml:space="preserve">Ova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Odluka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o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izmjeni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Odluke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o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određivanju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plaža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kojima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je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dozvoljeno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dovođenje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kućnih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ljubimaca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(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pasa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)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području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Općine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Punat</w:t>
            </w:r>
            <w:r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donosi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se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zbog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pritužbi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udaljenost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plaže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kojoj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je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dozvoljeno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dovođenje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kućnih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ljubimaca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(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pasa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)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području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naselja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Punat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te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se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predlaže</w:t>
            </w:r>
            <w:proofErr w:type="spellEnd"/>
            <w:r w:rsidRPr="00D47072">
              <w:rPr>
                <w:rFonts w:ascii="Garamond" w:eastAsia="Times New Roman" w:hAnsi="Garamond" w:cs="Arial"/>
                <w:lang w:eastAsia="hr-HR"/>
              </w:rPr>
              <w:t xml:space="preserve"> nova </w:t>
            </w:r>
            <w:proofErr w:type="spellStart"/>
            <w:r w:rsidRPr="00D47072">
              <w:rPr>
                <w:rFonts w:ascii="Garamond" w:eastAsia="Times New Roman" w:hAnsi="Garamond" w:cs="Arial"/>
                <w:lang w:eastAsia="hr-HR"/>
              </w:rPr>
              <w:t>lokacija</w:t>
            </w:r>
            <w:proofErr w:type="spellEnd"/>
          </w:p>
        </w:tc>
      </w:tr>
      <w:tr w:rsidR="0085098C" w14:paraId="2690155A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9ADA366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56248D0" w14:textId="0568A774" w:rsidR="0085098C" w:rsidRPr="0012688D" w:rsidRDefault="00D47072" w:rsidP="00776B69">
            <w:pPr>
              <w:jc w:val="both"/>
              <w:rPr>
                <w:rFonts w:ascii="Garamond" w:hAnsi="Garamond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25</w:t>
            </w:r>
            <w:r w:rsidR="000A41E6"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travnja</w:t>
            </w:r>
            <w:proofErr w:type="spellEnd"/>
            <w:r w:rsidR="000A41E6">
              <w:rPr>
                <w:rFonts w:ascii="Garamond" w:eastAsia="Myriad Pro" w:hAnsi="Garamond" w:cs="Myriad Pro"/>
                <w:color w:val="231F20"/>
              </w:rPr>
              <w:t xml:space="preserve"> 2023.</w:t>
            </w:r>
            <w:r w:rsidR="000A41E6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0A41E6" w:rsidRPr="006428F5">
              <w:rPr>
                <w:rFonts w:ascii="Garamond" w:eastAsia="Myriad Pro" w:hAnsi="Garamond" w:cs="Myriad Pro"/>
                <w:color w:val="231F20"/>
              </w:rPr>
              <w:t>godine</w:t>
            </w:r>
            <w:proofErr w:type="spellEnd"/>
          </w:p>
        </w:tc>
      </w:tr>
      <w:tr w:rsidR="0085098C" w14:paraId="57AB058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08FE39C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B1B76D8" w14:textId="77777777"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14:paraId="0980440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6FFCED7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EAEF881" w14:textId="77777777"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14:paraId="7C8BF5D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8BDBD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14:paraId="42241023" w14:textId="2FEC2F72" w:rsidR="0085098C" w:rsidRPr="0012688D" w:rsidRDefault="00D4707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izmjeni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Odluke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određivanju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plaža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kojima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je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dozvoljeno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dovođenje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kućnih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ljubimaca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(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pasa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)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području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D47072">
              <w:rPr>
                <w:rFonts w:ascii="Garamond" w:eastAsia="Myriad Pro" w:hAnsi="Garamond" w:cs="Myriad Pro"/>
                <w:color w:val="231F20"/>
              </w:rPr>
              <w:t>Općine</w:t>
            </w:r>
            <w:proofErr w:type="spellEnd"/>
            <w:r w:rsidRPr="00D47072">
              <w:rPr>
                <w:rFonts w:ascii="Garamond" w:eastAsia="Myriad Pro" w:hAnsi="Garamond" w:cs="Myriad Pro"/>
                <w:color w:val="231F20"/>
              </w:rPr>
              <w:t xml:space="preserve"> Punat</w:t>
            </w:r>
          </w:p>
        </w:tc>
      </w:tr>
      <w:tr w:rsidR="0085098C" w14:paraId="2F680A2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0622A5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71003116" w14:textId="77777777" w:rsidR="0085098C" w:rsidRPr="0012688D" w:rsidRDefault="0012688D" w:rsidP="00C278B4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primjenjivo</w:t>
            </w:r>
            <w:proofErr w:type="spellEnd"/>
          </w:p>
        </w:tc>
      </w:tr>
      <w:tr w:rsidR="0085098C" w14:paraId="78BCA49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5599EF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1A34DADA" w14:textId="77777777"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14:paraId="3DF1C4F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80385C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3A2F26D6" w14:textId="77777777"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14:paraId="0F1392DA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7F1E472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479C233E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4C00E268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58FA844D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1DB2539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5D3E9F7A" w14:textId="77777777"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14:paraId="4678E54F" w14:textId="77777777" w:rsidR="00E16C52" w:rsidRDefault="00E16C52" w:rsidP="0085098C">
            <w:pPr>
              <w:rPr>
                <w:rFonts w:ascii="Garamond" w:hAnsi="Garamond"/>
              </w:rPr>
            </w:pPr>
          </w:p>
          <w:p w14:paraId="2701E74F" w14:textId="77777777"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14:paraId="1F3CBDDA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7CF55DCE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C1C92E8" w14:textId="3A03B63B"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da</w:t>
            </w:r>
            <w:r w:rsidR="0012688D" w:rsidRPr="0012688D">
              <w:rPr>
                <w:rFonts w:ascii="Garamond" w:hAnsi="Garamond"/>
              </w:rPr>
              <w:t>na 2</w:t>
            </w:r>
            <w:r w:rsidR="00D47072">
              <w:rPr>
                <w:rFonts w:ascii="Garamond" w:hAnsi="Garamond"/>
              </w:rPr>
              <w:t>5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D47072">
              <w:rPr>
                <w:rFonts w:ascii="Garamond" w:hAnsi="Garamond"/>
              </w:rPr>
              <w:t>travnj</w:t>
            </w:r>
            <w:r w:rsidR="000A41E6">
              <w:rPr>
                <w:rFonts w:ascii="Garamond" w:hAnsi="Garamond"/>
              </w:rPr>
              <w:t>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202</w:t>
            </w:r>
            <w:r w:rsidR="000A41E6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od 2</w:t>
            </w:r>
            <w:r w:rsidR="00D47072">
              <w:rPr>
                <w:rFonts w:ascii="Garamond" w:hAnsi="Garamond"/>
              </w:rPr>
              <w:t>5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r w:rsidR="00D47072">
              <w:rPr>
                <w:rFonts w:ascii="Garamond" w:hAnsi="Garamond"/>
              </w:rPr>
              <w:t>travnja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074219">
              <w:rPr>
                <w:rFonts w:ascii="Garamond" w:hAnsi="Garamond"/>
              </w:rPr>
              <w:t>2</w:t>
            </w:r>
            <w:r w:rsidR="00D47072">
              <w:rPr>
                <w:rFonts w:ascii="Garamond" w:hAnsi="Garamond"/>
              </w:rPr>
              <w:t>7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D47072">
              <w:rPr>
                <w:rFonts w:ascii="Garamond" w:hAnsi="Garamond"/>
              </w:rPr>
              <w:t>svibnja</w:t>
            </w:r>
            <w:proofErr w:type="spellEnd"/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0A41E6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14:paraId="05FB00E7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784C1980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1A7B4461" w14:textId="77777777"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14:paraId="435B92F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95E523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0284FFF2" w14:textId="354FDCA8" w:rsidR="00681389" w:rsidRPr="0012688D" w:rsidRDefault="00D47072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Nisu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zaprimljena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očitovanja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predstavnika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zainteresirane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javnosti</w:t>
            </w:r>
            <w:proofErr w:type="spellEnd"/>
          </w:p>
        </w:tc>
      </w:tr>
      <w:tr w:rsidR="00012C73" w14:paraId="6D065300" w14:textId="77777777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B222CCF" w14:textId="77777777" w:rsidR="00012C73" w:rsidRPr="00C077CC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591DBD37" w14:textId="77777777" w:rsidR="00012C7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64F0D3C6" w14:textId="77777777" w:rsidR="00681389" w:rsidRDefault="00681389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14:paraId="05F9493F" w14:textId="77777777"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</w:tcPr>
          <w:p w14:paraId="477BA218" w14:textId="1D8874E7" w:rsidR="00012C73" w:rsidRPr="00C278B4" w:rsidRDefault="00D47072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Nije bilo dostavljenih primjedbi</w:t>
            </w:r>
          </w:p>
        </w:tc>
      </w:tr>
      <w:tr w:rsidR="0085098C" w14:paraId="4C9C63D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6AB1080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0BA4CEC0" w14:textId="77777777"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26AEB22E" w14:textId="77777777"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FD27" w14:textId="77777777" w:rsidR="00B43968" w:rsidRDefault="00B43968" w:rsidP="00681389">
      <w:pPr>
        <w:spacing w:after="0" w:line="240" w:lineRule="auto"/>
      </w:pPr>
      <w:r>
        <w:separator/>
      </w:r>
    </w:p>
  </w:endnote>
  <w:endnote w:type="continuationSeparator" w:id="0">
    <w:p w14:paraId="3EAC131B" w14:textId="77777777" w:rsidR="00B43968" w:rsidRDefault="00B43968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CD12" w14:textId="77777777" w:rsidR="00B43968" w:rsidRDefault="00B43968" w:rsidP="00681389">
      <w:pPr>
        <w:spacing w:after="0" w:line="240" w:lineRule="auto"/>
      </w:pPr>
      <w:r>
        <w:separator/>
      </w:r>
    </w:p>
  </w:footnote>
  <w:footnote w:type="continuationSeparator" w:id="0">
    <w:p w14:paraId="096A5435" w14:textId="77777777" w:rsidR="00B43968" w:rsidRDefault="00B43968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426428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C6FDC"/>
    <w:rsid w:val="007E1FA1"/>
    <w:rsid w:val="00803350"/>
    <w:rsid w:val="0085098C"/>
    <w:rsid w:val="008821E4"/>
    <w:rsid w:val="008F4360"/>
    <w:rsid w:val="00A044B9"/>
    <w:rsid w:val="00AA3208"/>
    <w:rsid w:val="00B23830"/>
    <w:rsid w:val="00B43968"/>
    <w:rsid w:val="00B76678"/>
    <w:rsid w:val="00BE3CEC"/>
    <w:rsid w:val="00C077CC"/>
    <w:rsid w:val="00C278B4"/>
    <w:rsid w:val="00C42657"/>
    <w:rsid w:val="00D17249"/>
    <w:rsid w:val="00D47072"/>
    <w:rsid w:val="00E16C52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B8E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Vedrana Dunato Polonijo</cp:lastModifiedBy>
  <cp:revision>2</cp:revision>
  <dcterms:created xsi:type="dcterms:W3CDTF">2023-05-31T11:52:00Z</dcterms:created>
  <dcterms:modified xsi:type="dcterms:W3CDTF">2023-05-31T11:52:00Z</dcterms:modified>
</cp:coreProperties>
</file>