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14:paraId="14555406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4E18467F" w14:textId="77777777" w:rsidR="0085098C" w:rsidRPr="00AE5135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AE5135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14:paraId="377A066F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8853483" w14:textId="77777777" w:rsidR="0085098C" w:rsidRPr="00AE5135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E5135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AE5135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E5135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93C4043" w14:textId="10E57989" w:rsidR="0085098C" w:rsidRPr="0045099C" w:rsidRDefault="0045099C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>Odluka</w:t>
            </w:r>
            <w:proofErr w:type="spellEnd"/>
            <w:r w:rsidRPr="0045099C">
              <w:rPr>
                <w:szCs w:val="22"/>
              </w:rPr>
              <w:t xml:space="preserve"> </w:t>
            </w:r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 xml:space="preserve">o </w:t>
            </w:r>
            <w:proofErr w:type="spellStart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>visini</w:t>
            </w:r>
            <w:proofErr w:type="spellEnd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>poreznih</w:t>
            </w:r>
            <w:proofErr w:type="spellEnd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>stopa</w:t>
            </w:r>
            <w:proofErr w:type="spellEnd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 xml:space="preserve"> u </w:t>
            </w:r>
            <w:proofErr w:type="spellStart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>Općini</w:t>
            </w:r>
            <w:proofErr w:type="spellEnd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 xml:space="preserve"> Punat</w:t>
            </w:r>
          </w:p>
        </w:tc>
      </w:tr>
      <w:tr w:rsidR="0085098C" w14:paraId="3465800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F559DB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Stvaratelj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tijelo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provodi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</w:tcPr>
          <w:p w14:paraId="7290B465" w14:textId="77777777" w:rsidR="0085098C" w:rsidRPr="008E2039" w:rsidRDefault="000A41E6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pacing w:val="-3"/>
                <w:szCs w:val="22"/>
              </w:rPr>
              <w:t>Općina</w:t>
            </w:r>
            <w:proofErr w:type="spellEnd"/>
            <w:r w:rsidRPr="008E2039">
              <w:rPr>
                <w:rFonts w:ascii="Garamond" w:eastAsia="Myriad Pro" w:hAnsi="Garamond" w:cs="Myriad Pro"/>
                <w:color w:val="231F20"/>
                <w:spacing w:val="-3"/>
                <w:szCs w:val="22"/>
              </w:rPr>
              <w:t xml:space="preserve"> Punat</w:t>
            </w:r>
          </w:p>
        </w:tc>
      </w:tr>
      <w:tr w:rsidR="0085098C" w14:paraId="44F0CEFC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4EC5CD6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Svrha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783A84E8" w14:textId="77777777" w:rsidR="0045099C" w:rsidRPr="0045099C" w:rsidRDefault="0045099C" w:rsidP="0045099C">
            <w:pPr>
              <w:suppressAutoHyphens/>
              <w:overflowPunct w:val="0"/>
              <w:autoSpaceDE w:val="0"/>
              <w:autoSpaceDN w:val="0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45099C">
              <w:rPr>
                <w:rFonts w:ascii="Garamond" w:eastAsia="Times New Roman" w:hAnsi="Garamond" w:cs="Arial"/>
                <w:szCs w:val="22"/>
                <w:lang w:eastAsia="hr-HR"/>
              </w:rPr>
              <w:t>Sukladno</w:t>
            </w:r>
            <w:proofErr w:type="spellEnd"/>
            <w:r w:rsidRPr="0045099C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45099C">
              <w:rPr>
                <w:rFonts w:ascii="Garamond" w:eastAsia="Times New Roman" w:hAnsi="Garamond" w:cs="Arial"/>
                <w:szCs w:val="22"/>
                <w:lang w:eastAsia="hr-HR"/>
              </w:rPr>
              <w:t>odredbi</w:t>
            </w:r>
            <w:proofErr w:type="spellEnd"/>
            <w:r w:rsidRPr="0045099C">
              <w:rPr>
                <w:rFonts w:ascii="Garamond" w:eastAsia="Times New Roman" w:hAnsi="Garamond" w:cs="Arial"/>
                <w:szCs w:val="22"/>
                <w:lang w:eastAsia="hr-HR"/>
              </w:rPr>
              <w:t xml:space="preserve"> </w:t>
            </w:r>
            <w:proofErr w:type="spellStart"/>
            <w:r w:rsidRPr="0045099C">
              <w:rPr>
                <w:rFonts w:ascii="Garamond" w:eastAsia="Times New Roman" w:hAnsi="Garamond" w:cs="Arial"/>
                <w:szCs w:val="22"/>
                <w:lang w:eastAsia="hr-HR"/>
              </w:rPr>
              <w:t>članka</w:t>
            </w:r>
            <w:proofErr w:type="spellEnd"/>
            <w:r w:rsidRPr="0045099C">
              <w:rPr>
                <w:rFonts w:ascii="Garamond" w:eastAsia="Times New Roman" w:hAnsi="Garamond" w:cs="Arial"/>
                <w:szCs w:val="22"/>
                <w:lang w:eastAsia="hr-HR"/>
              </w:rPr>
              <w:t xml:space="preserve"> 13. </w:t>
            </w:r>
            <w:proofErr w:type="spellStart"/>
            <w:r w:rsidRPr="0045099C">
              <w:rPr>
                <w:rFonts w:ascii="Garamond" w:hAnsi="Garamond" w:cs="TimesNewRomanPSMT"/>
                <w:szCs w:val="22"/>
              </w:rPr>
              <w:t>Zakona</w:t>
            </w:r>
            <w:proofErr w:type="spellEnd"/>
            <w:r w:rsidRPr="0045099C">
              <w:rPr>
                <w:rFonts w:ascii="Garamond" w:hAnsi="Garamond" w:cs="TimesNewRomanPSMT"/>
                <w:szCs w:val="22"/>
              </w:rPr>
              <w:t xml:space="preserve"> o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porezu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dohodak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("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Narodne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novine", </w:t>
            </w:r>
            <w:proofErr w:type="spellStart"/>
            <w:r w:rsidRPr="0045099C">
              <w:rPr>
                <w:rFonts w:ascii="Garamond" w:hAnsi="Garamond"/>
                <w:szCs w:val="22"/>
              </w:rPr>
              <w:t>broj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115/2016, 106/2018, 121/2019, 32/2020, 138/2020, 151/2022)</w:t>
            </w:r>
            <w:r w:rsidRPr="0045099C">
              <w:rPr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propisano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je da se </w:t>
            </w:r>
            <w:proofErr w:type="spellStart"/>
            <w:r w:rsidRPr="0045099C">
              <w:rPr>
                <w:rFonts w:ascii="Garamond" w:hAnsi="Garamond"/>
                <w:szCs w:val="22"/>
              </w:rPr>
              <w:t>godišnjim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dohotkom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smatra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ukupan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iznos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45099C">
              <w:rPr>
                <w:rFonts w:ascii="Garamond" w:hAnsi="Garamond"/>
                <w:szCs w:val="22"/>
              </w:rPr>
              <w:t>zbroj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), </w:t>
            </w:r>
            <w:proofErr w:type="spellStart"/>
            <w:r w:rsidRPr="0045099C">
              <w:rPr>
                <w:rFonts w:ascii="Garamond" w:hAnsi="Garamond"/>
                <w:szCs w:val="22"/>
              </w:rPr>
              <w:t>između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ostalog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45099C">
              <w:rPr>
                <w:rFonts w:ascii="Garamond" w:hAnsi="Garamond"/>
                <w:szCs w:val="22"/>
              </w:rPr>
              <w:t>dohotka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od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nesamostalnog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rada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koji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porezni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obveznik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ostvari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tijekom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poreznog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razdoblja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45099C">
              <w:rPr>
                <w:rFonts w:ascii="Garamond" w:hAnsi="Garamond"/>
                <w:szCs w:val="22"/>
              </w:rPr>
              <w:t>kalendarske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godine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). Na </w:t>
            </w:r>
            <w:proofErr w:type="spellStart"/>
            <w:r w:rsidRPr="0045099C">
              <w:rPr>
                <w:rFonts w:ascii="Garamond" w:hAnsi="Garamond"/>
                <w:szCs w:val="22"/>
              </w:rPr>
              <w:t>tako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utvrđeni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godišnji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dohodak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obračunava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45099C">
              <w:rPr>
                <w:rFonts w:ascii="Garamond" w:hAnsi="Garamond"/>
                <w:szCs w:val="22"/>
              </w:rPr>
              <w:t>godišnji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dohodak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od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nesamostalnog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rada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45099C">
              <w:rPr>
                <w:rFonts w:ascii="Garamond" w:hAnsi="Garamond"/>
                <w:szCs w:val="22"/>
              </w:rPr>
              <w:t>stopama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od 20 % (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poreznu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osnovicu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do 360.000,00 </w:t>
            </w:r>
            <w:proofErr w:type="spellStart"/>
            <w:r w:rsidRPr="0045099C">
              <w:rPr>
                <w:rFonts w:ascii="Garamond" w:hAnsi="Garamond"/>
                <w:szCs w:val="22"/>
              </w:rPr>
              <w:t>kuna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odnosno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od 30 % (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dio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porezne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osnovice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koji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prelazi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iznos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od 360.000,00 </w:t>
            </w:r>
            <w:proofErr w:type="spellStart"/>
            <w:r w:rsidRPr="0045099C">
              <w:rPr>
                <w:rFonts w:ascii="Garamond" w:hAnsi="Garamond"/>
                <w:szCs w:val="22"/>
              </w:rPr>
              <w:t>kuna</w:t>
            </w:r>
            <w:proofErr w:type="spellEnd"/>
            <w:r w:rsidRPr="0045099C">
              <w:rPr>
                <w:rFonts w:ascii="Garamond" w:hAnsi="Garamond"/>
                <w:szCs w:val="22"/>
              </w:rPr>
              <w:t>) (</w:t>
            </w:r>
            <w:proofErr w:type="spellStart"/>
            <w:r w:rsidRPr="0045099C">
              <w:rPr>
                <w:rFonts w:ascii="Garamond" w:hAnsi="Garamond"/>
                <w:szCs w:val="22"/>
              </w:rPr>
              <w:t>čl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. 19. </w:t>
            </w:r>
            <w:proofErr w:type="spellStart"/>
            <w:r w:rsidRPr="0045099C">
              <w:rPr>
                <w:rFonts w:ascii="Garamond" w:hAnsi="Garamond"/>
                <w:szCs w:val="22"/>
              </w:rPr>
              <w:t>Zakona</w:t>
            </w:r>
            <w:proofErr w:type="spellEnd"/>
            <w:r w:rsidRPr="0045099C">
              <w:rPr>
                <w:rFonts w:ascii="Garamond" w:hAnsi="Garamond"/>
                <w:szCs w:val="22"/>
              </w:rPr>
              <w:t>).</w:t>
            </w:r>
          </w:p>
          <w:p w14:paraId="7809B230" w14:textId="77777777" w:rsidR="0045099C" w:rsidRPr="0045099C" w:rsidRDefault="0045099C" w:rsidP="0045099C">
            <w:pPr>
              <w:suppressAutoHyphens/>
              <w:overflowPunct w:val="0"/>
              <w:autoSpaceDE w:val="0"/>
              <w:autoSpaceDN w:val="0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45099C">
              <w:rPr>
                <w:rFonts w:ascii="Garamond" w:hAnsi="Garamond"/>
                <w:szCs w:val="22"/>
              </w:rPr>
              <w:t>Zakonom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45099C">
              <w:rPr>
                <w:rFonts w:ascii="Garamond" w:hAnsi="Garamond"/>
                <w:szCs w:val="22"/>
              </w:rPr>
              <w:t>izmjenama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45099C">
              <w:rPr>
                <w:rFonts w:ascii="Garamond" w:hAnsi="Garamond"/>
                <w:szCs w:val="22"/>
              </w:rPr>
              <w:t>dopunama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Zakona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porezu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dohodak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promijenila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45099C">
              <w:rPr>
                <w:rFonts w:ascii="Garamond" w:hAnsi="Garamond"/>
                <w:szCs w:val="22"/>
              </w:rPr>
              <w:t>visina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porezne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osnovice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koju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plaća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dohodak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tako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da </w:t>
            </w:r>
            <w:proofErr w:type="gramStart"/>
            <w:r w:rsidRPr="0045099C">
              <w:rPr>
                <w:rFonts w:ascii="Garamond" w:hAnsi="Garamond"/>
                <w:szCs w:val="22"/>
              </w:rPr>
              <w:t xml:space="preserve">se  </w:t>
            </w:r>
            <w:proofErr w:type="spellStart"/>
            <w:r w:rsidRPr="0045099C">
              <w:rPr>
                <w:rFonts w:ascii="Garamond" w:hAnsi="Garamond"/>
                <w:szCs w:val="22"/>
              </w:rPr>
              <w:t>godišnji</w:t>
            </w:r>
            <w:proofErr w:type="spellEnd"/>
            <w:proofErr w:type="gram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dohodak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plaća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nižoj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stopi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poreznu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osnovicu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do </w:t>
            </w:r>
            <w:proofErr w:type="spellStart"/>
            <w:r w:rsidRPr="0045099C">
              <w:rPr>
                <w:rFonts w:ascii="Garamond" w:hAnsi="Garamond"/>
                <w:szCs w:val="22"/>
              </w:rPr>
              <w:t>visine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50.400,00 </w:t>
            </w:r>
            <w:proofErr w:type="spellStart"/>
            <w:r w:rsidRPr="0045099C">
              <w:rPr>
                <w:rFonts w:ascii="Garamond" w:hAnsi="Garamond"/>
                <w:szCs w:val="22"/>
              </w:rPr>
              <w:t>eura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te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45099C">
              <w:rPr>
                <w:rFonts w:ascii="Garamond" w:hAnsi="Garamond"/>
                <w:szCs w:val="22"/>
              </w:rPr>
              <w:t>višoj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stopi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dio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porezne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osnovice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koji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prelazi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iznos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od 50.400,00 </w:t>
            </w:r>
            <w:proofErr w:type="spellStart"/>
            <w:r w:rsidRPr="0045099C">
              <w:rPr>
                <w:rFonts w:ascii="Garamond" w:hAnsi="Garamond"/>
                <w:szCs w:val="22"/>
              </w:rPr>
              <w:t>eura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. </w:t>
            </w:r>
          </w:p>
          <w:p w14:paraId="2705C9A9" w14:textId="77777777" w:rsidR="0045099C" w:rsidRPr="0045099C" w:rsidRDefault="0045099C" w:rsidP="0045099C">
            <w:pPr>
              <w:suppressAutoHyphens/>
              <w:overflowPunct w:val="0"/>
              <w:autoSpaceDE w:val="0"/>
              <w:autoSpaceDN w:val="0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45099C">
              <w:rPr>
                <w:rFonts w:ascii="Garamond" w:hAnsi="Garamond"/>
                <w:szCs w:val="22"/>
              </w:rPr>
              <w:t>Također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izmjenama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Zakona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nadležnost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određivanje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visine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poreznih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stopa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dana je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predstavničkim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tijelima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jedinica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lokalne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samouprave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te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45099C">
              <w:rPr>
                <w:rFonts w:ascii="Garamond" w:hAnsi="Garamond"/>
                <w:szCs w:val="22"/>
              </w:rPr>
              <w:t>može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propisati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niža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stopa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45099C">
              <w:rPr>
                <w:rFonts w:ascii="Garamond" w:hAnsi="Garamond"/>
                <w:szCs w:val="22"/>
              </w:rPr>
              <w:t>granicama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od 15% do 22% </w:t>
            </w:r>
            <w:proofErr w:type="spellStart"/>
            <w:r w:rsidRPr="0045099C">
              <w:rPr>
                <w:rFonts w:ascii="Garamond" w:hAnsi="Garamond"/>
                <w:szCs w:val="22"/>
              </w:rPr>
              <w:t>te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viša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stopa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45099C">
              <w:rPr>
                <w:rFonts w:ascii="Garamond" w:hAnsi="Garamond"/>
                <w:szCs w:val="22"/>
              </w:rPr>
              <w:t>granicama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od 25% do 33%.</w:t>
            </w:r>
          </w:p>
          <w:p w14:paraId="291C7CE9" w14:textId="66F32A16" w:rsidR="0085098C" w:rsidRPr="0045099C" w:rsidRDefault="0045099C" w:rsidP="00AE5135">
            <w:pPr>
              <w:suppressAutoHyphens/>
              <w:overflowPunct w:val="0"/>
              <w:autoSpaceDE w:val="0"/>
              <w:autoSpaceDN w:val="0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45099C">
              <w:rPr>
                <w:rFonts w:ascii="Garamond" w:hAnsi="Garamond"/>
                <w:szCs w:val="22"/>
              </w:rPr>
              <w:t>Općinski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načelnik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predlaže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da stope </w:t>
            </w:r>
            <w:proofErr w:type="spellStart"/>
            <w:r w:rsidRPr="0045099C">
              <w:rPr>
                <w:rFonts w:ascii="Garamond" w:hAnsi="Garamond"/>
                <w:szCs w:val="22"/>
              </w:rPr>
              <w:t>budu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minimalne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kako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bi se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povećale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plaće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i standard </w:t>
            </w:r>
            <w:proofErr w:type="spellStart"/>
            <w:r w:rsidRPr="0045099C">
              <w:rPr>
                <w:rFonts w:ascii="Garamond" w:hAnsi="Garamond"/>
                <w:szCs w:val="22"/>
              </w:rPr>
              <w:t>mještana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hAnsi="Garamond"/>
                <w:szCs w:val="22"/>
              </w:rPr>
              <w:t>Općine</w:t>
            </w:r>
            <w:proofErr w:type="spellEnd"/>
            <w:r w:rsidRPr="0045099C">
              <w:rPr>
                <w:rFonts w:ascii="Garamond" w:hAnsi="Garamond"/>
                <w:szCs w:val="22"/>
              </w:rPr>
              <w:t xml:space="preserve"> Punat.</w:t>
            </w:r>
          </w:p>
        </w:tc>
      </w:tr>
      <w:tr w:rsidR="0085098C" w14:paraId="35FFE9F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541794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BD7846C" w14:textId="627A9BD8" w:rsidR="0085098C" w:rsidRPr="008E2039" w:rsidRDefault="008E2039" w:rsidP="00776B69">
            <w:pPr>
              <w:jc w:val="both"/>
              <w:rPr>
                <w:rFonts w:ascii="Garamond" w:hAnsi="Garamond"/>
                <w:szCs w:val="22"/>
              </w:rPr>
            </w:pPr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10.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listopada</w:t>
            </w:r>
            <w:proofErr w:type="spellEnd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 2023.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14:paraId="1389214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5BF948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Verzija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1B2CDAD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Prijedlog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14:paraId="74A5C7B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ECE091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Vrsta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1408E75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Opći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14:paraId="3B83619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6EB8D93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</w:tcPr>
          <w:p w14:paraId="65A30F00" w14:textId="738F140B" w:rsidR="0085098C" w:rsidRPr="008E2039" w:rsidRDefault="0045099C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>Odluka</w:t>
            </w:r>
            <w:proofErr w:type="spellEnd"/>
            <w:r w:rsidRPr="0045099C">
              <w:rPr>
                <w:szCs w:val="22"/>
              </w:rPr>
              <w:t xml:space="preserve"> </w:t>
            </w:r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 xml:space="preserve">o </w:t>
            </w:r>
            <w:proofErr w:type="spellStart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>visini</w:t>
            </w:r>
            <w:proofErr w:type="spellEnd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>poreznih</w:t>
            </w:r>
            <w:proofErr w:type="spellEnd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>stopa</w:t>
            </w:r>
            <w:proofErr w:type="spellEnd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 xml:space="preserve"> u </w:t>
            </w:r>
            <w:proofErr w:type="spellStart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>Općini</w:t>
            </w:r>
            <w:proofErr w:type="spellEnd"/>
            <w:r w:rsidRPr="0045099C">
              <w:rPr>
                <w:rFonts w:ascii="Garamond" w:eastAsia="Myriad Pro" w:hAnsi="Garamond" w:cs="Myriad Pro"/>
                <w:color w:val="231F20"/>
                <w:szCs w:val="22"/>
              </w:rPr>
              <w:t xml:space="preserve"> Punat</w:t>
            </w:r>
          </w:p>
        </w:tc>
      </w:tr>
      <w:tr w:rsidR="0085098C" w14:paraId="0E8D7BF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A43E1F4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Jedinstvena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oznaka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Plana </w:t>
            </w:r>
            <w:proofErr w:type="spellStart"/>
            <w:r w:rsidRPr="00012C73">
              <w:rPr>
                <w:rFonts w:ascii="Garamond" w:hAnsi="Garamond"/>
                <w:b/>
              </w:rPr>
              <w:t>donošenja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drugih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akata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14:paraId="59403065" w14:textId="77777777" w:rsidR="0085098C" w:rsidRPr="008E2039" w:rsidRDefault="0012688D" w:rsidP="00C278B4">
            <w:pPr>
              <w:jc w:val="both"/>
              <w:rPr>
                <w:rFonts w:ascii="Garamond" w:hAnsi="Garamond"/>
                <w:i/>
                <w:szCs w:val="22"/>
              </w:rPr>
            </w:pPr>
            <w:proofErr w:type="spellStart"/>
            <w:r w:rsidRPr="008E2039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8E2039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i/>
                <w:szCs w:val="22"/>
              </w:rPr>
              <w:t>primjenjivo</w:t>
            </w:r>
            <w:proofErr w:type="spellEnd"/>
          </w:p>
        </w:tc>
      </w:tr>
      <w:tr w:rsidR="0085098C" w14:paraId="173B2407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4D9946F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tijela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nadležnog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</w:p>
        </w:tc>
        <w:tc>
          <w:tcPr>
            <w:tcW w:w="5669" w:type="dxa"/>
          </w:tcPr>
          <w:p w14:paraId="0A206123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Jedinstveni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upravni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odjel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Općine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14:paraId="4D2BC15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2E1EFB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bili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uključeni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postupak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izrade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odnosno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rad </w:t>
            </w:r>
            <w:proofErr w:type="spellStart"/>
            <w:r w:rsidRPr="00012C73">
              <w:rPr>
                <w:rFonts w:ascii="Garamond" w:hAnsi="Garamond"/>
                <w:b/>
              </w:rPr>
              <w:t>stručne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radne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skupine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14:paraId="40B725A3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Nije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bilo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8E2039">
              <w:rPr>
                <w:rFonts w:ascii="Garamond" w:hAnsi="Garamond"/>
                <w:szCs w:val="22"/>
              </w:rPr>
              <w:t>.</w:t>
            </w:r>
          </w:p>
        </w:tc>
      </w:tr>
      <w:tr w:rsidR="0085098C" w14:paraId="47F165D5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22A532B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Je li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bio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drugi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odgovarajući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način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14:paraId="3697B04F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74539D04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jest, </w:t>
            </w:r>
            <w:proofErr w:type="spellStart"/>
            <w:r w:rsidRPr="00012C73">
              <w:rPr>
                <w:rFonts w:ascii="Garamond" w:hAnsi="Garamond"/>
                <w:b/>
              </w:rPr>
              <w:t>kada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koliko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vremena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ostavljeno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14:paraId="46BB85E2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230C0A71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zašto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1FF954A3" w14:textId="77777777" w:rsidR="0085098C" w:rsidRPr="0012688D" w:rsidRDefault="00E16C52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proofErr w:type="spellStart"/>
            <w:r w:rsidR="0085098C" w:rsidRPr="0012688D">
              <w:rPr>
                <w:rFonts w:ascii="Garamond" w:hAnsi="Garamond"/>
              </w:rPr>
              <w:t>objavljen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na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službenoj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stranici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Općine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Punat</w:t>
            </w:r>
            <w:r w:rsidRPr="0012688D">
              <w:rPr>
                <w:rFonts w:ascii="Garamond" w:hAnsi="Garamond"/>
              </w:rPr>
              <w:t>.</w:t>
            </w:r>
          </w:p>
          <w:p w14:paraId="3B30C4E9" w14:textId="77777777" w:rsidR="00E16C52" w:rsidRDefault="00E16C52" w:rsidP="0085098C">
            <w:pPr>
              <w:rPr>
                <w:rFonts w:ascii="Garamond" w:hAnsi="Garamond"/>
              </w:rPr>
            </w:pPr>
          </w:p>
          <w:p w14:paraId="58FEF45C" w14:textId="77777777" w:rsidR="00C077CC" w:rsidRPr="0012688D" w:rsidRDefault="00C077CC" w:rsidP="0085098C">
            <w:pPr>
              <w:rPr>
                <w:rFonts w:ascii="Garamond" w:hAnsi="Garamond"/>
              </w:rPr>
            </w:pPr>
          </w:p>
        </w:tc>
      </w:tr>
      <w:tr w:rsidR="0085098C" w14:paraId="5F68CAA3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12DC7240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2E17BADF" w14:textId="0A73F566" w:rsidR="00C077CC" w:rsidRPr="0012688D" w:rsidRDefault="00E16C52" w:rsidP="004E478E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objavljen</w:t>
            </w:r>
            <w:proofErr w:type="spellEnd"/>
            <w:r w:rsidRPr="0012688D">
              <w:rPr>
                <w:rFonts w:ascii="Garamond" w:hAnsi="Garamond"/>
              </w:rPr>
              <w:t xml:space="preserve"> da</w:t>
            </w:r>
            <w:r w:rsidR="0012688D" w:rsidRPr="0012688D">
              <w:rPr>
                <w:rFonts w:ascii="Garamond" w:hAnsi="Garamond"/>
              </w:rPr>
              <w:t xml:space="preserve">na </w:t>
            </w:r>
            <w:r w:rsidR="008E2039">
              <w:rPr>
                <w:rFonts w:ascii="Garamond" w:hAnsi="Garamond"/>
              </w:rPr>
              <w:t>10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r w:rsidR="008E2039">
              <w:rPr>
                <w:rFonts w:ascii="Garamond" w:hAnsi="Garamond"/>
              </w:rPr>
              <w:t>listopada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202</w:t>
            </w:r>
            <w:r w:rsidR="000A41E6">
              <w:rPr>
                <w:rFonts w:ascii="Garamond" w:hAnsi="Garamond"/>
              </w:rPr>
              <w:t>3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r w:rsidR="0012688D" w:rsidRPr="0012688D">
              <w:rPr>
                <w:rFonts w:ascii="Garamond" w:hAnsi="Garamond"/>
              </w:rPr>
              <w:t>godine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stranici</w:t>
            </w:r>
            <w:proofErr w:type="spellEnd"/>
            <w:r w:rsidRPr="0012688D">
              <w:rPr>
                <w:rFonts w:ascii="Garamond" w:hAnsi="Garamond"/>
              </w:rPr>
              <w:t xml:space="preserve">: </w:t>
            </w:r>
            <w:hyperlink r:id="rId7" w:history="1">
              <w:r w:rsidRPr="0012688D">
                <w:rPr>
                  <w:rStyle w:val="Hiperveza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Savjetovanje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otvoreno</w:t>
            </w:r>
            <w:proofErr w:type="spellEnd"/>
            <w:r w:rsidRPr="0012688D">
              <w:rPr>
                <w:rFonts w:ascii="Garamond" w:hAnsi="Garamond"/>
              </w:rPr>
              <w:t xml:space="preserve"> od </w:t>
            </w:r>
            <w:r w:rsidR="008E2039">
              <w:rPr>
                <w:rFonts w:ascii="Garamond" w:hAnsi="Garamond"/>
              </w:rPr>
              <w:t>10</w:t>
            </w:r>
            <w:r w:rsidR="00074219">
              <w:rPr>
                <w:rFonts w:ascii="Garamond" w:hAnsi="Garamond"/>
              </w:rPr>
              <w:t xml:space="preserve">. </w:t>
            </w:r>
            <w:proofErr w:type="spellStart"/>
            <w:r w:rsidR="008E2039">
              <w:rPr>
                <w:rFonts w:ascii="Garamond" w:hAnsi="Garamond"/>
              </w:rPr>
              <w:t>listopada</w:t>
            </w:r>
            <w:proofErr w:type="spellEnd"/>
            <w:r w:rsidRPr="0012688D">
              <w:rPr>
                <w:rFonts w:ascii="Garamond" w:hAnsi="Garamond"/>
              </w:rPr>
              <w:t xml:space="preserve"> do </w:t>
            </w:r>
            <w:r w:rsidR="008E2039">
              <w:rPr>
                <w:rFonts w:ascii="Garamond" w:hAnsi="Garamond"/>
              </w:rPr>
              <w:t>10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="008E2039">
              <w:rPr>
                <w:rFonts w:ascii="Garamond" w:hAnsi="Garamond"/>
              </w:rPr>
              <w:t>studenoga</w:t>
            </w:r>
            <w:proofErr w:type="spellEnd"/>
            <w:r w:rsidR="000A41E6">
              <w:rPr>
                <w:rFonts w:ascii="Garamond" w:hAnsi="Garamond"/>
              </w:rPr>
              <w:t xml:space="preserve"> </w:t>
            </w:r>
            <w:r w:rsidRPr="0012688D">
              <w:rPr>
                <w:rFonts w:ascii="Garamond" w:hAnsi="Garamond"/>
              </w:rPr>
              <w:t>202</w:t>
            </w:r>
            <w:r w:rsidR="000A41E6">
              <w:rPr>
                <w:rFonts w:ascii="Garamond" w:hAnsi="Garamond"/>
              </w:rPr>
              <w:t>3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godine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14:paraId="4F2AACCE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5232AFF2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7D94C3DB" w14:textId="77777777" w:rsidR="0085098C" w:rsidRPr="0012688D" w:rsidRDefault="00C278B4" w:rsidP="00C278B4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nije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primj</w:t>
            </w:r>
            <w:r w:rsidR="00E16C52" w:rsidRPr="0012688D">
              <w:rPr>
                <w:rFonts w:ascii="Garamond" w:hAnsi="Garamond"/>
                <w:i/>
              </w:rPr>
              <w:t>enjivo</w:t>
            </w:r>
            <w:proofErr w:type="spellEnd"/>
          </w:p>
        </w:tc>
      </w:tr>
      <w:tr w:rsidR="0085098C" w14:paraId="12F3344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3344B9B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dostavili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svoja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očitovanja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14:paraId="78453AF1" w14:textId="5F831B53" w:rsidR="00681389" w:rsidRPr="0012688D" w:rsidRDefault="008E2039" w:rsidP="001B275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Nije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bilo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zainteresiranih</w:t>
            </w:r>
            <w:proofErr w:type="spellEnd"/>
          </w:p>
        </w:tc>
      </w:tr>
      <w:tr w:rsidR="00012C73" w14:paraId="472E3828" w14:textId="77777777" w:rsidTr="0068138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2B3BCAE" w14:textId="2BB31FE6" w:rsidR="00012C73" w:rsidRPr="00AE5135" w:rsidRDefault="00012C73" w:rsidP="00AE5135">
            <w:pPr>
              <w:pStyle w:val="Tijeloteksta"/>
              <w:spacing w:before="120" w:after="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</w:tc>
        <w:tc>
          <w:tcPr>
            <w:tcW w:w="5669" w:type="dxa"/>
          </w:tcPr>
          <w:p w14:paraId="745A4C4E" w14:textId="44DD0338" w:rsidR="00012C73" w:rsidRPr="00C278B4" w:rsidRDefault="008E2039" w:rsidP="000A3233">
            <w:pPr>
              <w:jc w:val="both"/>
              <w:rPr>
                <w:rFonts w:ascii="Garamond" w:hAnsi="Garamond"/>
                <w:lang w:val="hr-HR"/>
              </w:rPr>
            </w:pPr>
            <w:r>
              <w:rPr>
                <w:rFonts w:ascii="Garamond" w:hAnsi="Garamond"/>
                <w:lang w:val="hr-HR"/>
              </w:rPr>
              <w:t>Nije bilo primjedbi</w:t>
            </w:r>
          </w:p>
        </w:tc>
      </w:tr>
      <w:tr w:rsidR="0085098C" w14:paraId="60CFBD0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32D3F0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lastRenderedPageBreak/>
              <w:t>Troškovi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provedenog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</w:tcPr>
          <w:p w14:paraId="09D8E4D7" w14:textId="77777777" w:rsidR="0085098C" w:rsidRPr="00012C73" w:rsidRDefault="00012C73" w:rsidP="00776B69">
            <w:pPr>
              <w:jc w:val="both"/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14:paraId="1C93CD33" w14:textId="77777777" w:rsidR="00B23830" w:rsidRDefault="00B23830" w:rsidP="00012C73"/>
    <w:sectPr w:rsidR="00B23830" w:rsidSect="00C278B4">
      <w:pgSz w:w="11907" w:h="16839" w:code="9"/>
      <w:pgMar w:top="426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7297" w14:textId="77777777" w:rsidR="007B0984" w:rsidRDefault="007B0984" w:rsidP="00681389">
      <w:pPr>
        <w:spacing w:after="0" w:line="240" w:lineRule="auto"/>
      </w:pPr>
      <w:r>
        <w:separator/>
      </w:r>
    </w:p>
  </w:endnote>
  <w:endnote w:type="continuationSeparator" w:id="0">
    <w:p w14:paraId="0D761A3F" w14:textId="77777777" w:rsidR="007B0984" w:rsidRDefault="007B0984" w:rsidP="006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1B4F" w14:textId="77777777" w:rsidR="007B0984" w:rsidRDefault="007B0984" w:rsidP="00681389">
      <w:pPr>
        <w:spacing w:after="0" w:line="240" w:lineRule="auto"/>
      </w:pPr>
      <w:r>
        <w:separator/>
      </w:r>
    </w:p>
  </w:footnote>
  <w:footnote w:type="continuationSeparator" w:id="0">
    <w:p w14:paraId="0A13B14B" w14:textId="77777777" w:rsidR="007B0984" w:rsidRDefault="007B0984" w:rsidP="006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0542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8C"/>
    <w:rsid w:val="00012C73"/>
    <w:rsid w:val="00022961"/>
    <w:rsid w:val="00074219"/>
    <w:rsid w:val="00076030"/>
    <w:rsid w:val="00076A99"/>
    <w:rsid w:val="000A3233"/>
    <w:rsid w:val="000A41E6"/>
    <w:rsid w:val="000B5088"/>
    <w:rsid w:val="0012688D"/>
    <w:rsid w:val="0014040A"/>
    <w:rsid w:val="0014613F"/>
    <w:rsid w:val="001B2755"/>
    <w:rsid w:val="00233AEB"/>
    <w:rsid w:val="0025544D"/>
    <w:rsid w:val="00426428"/>
    <w:rsid w:val="0045099C"/>
    <w:rsid w:val="00456397"/>
    <w:rsid w:val="004631C2"/>
    <w:rsid w:val="004712A6"/>
    <w:rsid w:val="004E478E"/>
    <w:rsid w:val="004E4D6C"/>
    <w:rsid w:val="004F13F1"/>
    <w:rsid w:val="00595436"/>
    <w:rsid w:val="00671D7F"/>
    <w:rsid w:val="00681389"/>
    <w:rsid w:val="00776B69"/>
    <w:rsid w:val="007B0984"/>
    <w:rsid w:val="007C6FDC"/>
    <w:rsid w:val="007E1FA1"/>
    <w:rsid w:val="007E4CB9"/>
    <w:rsid w:val="00803350"/>
    <w:rsid w:val="0085098C"/>
    <w:rsid w:val="008821E4"/>
    <w:rsid w:val="008E2039"/>
    <w:rsid w:val="008F4360"/>
    <w:rsid w:val="00A044B9"/>
    <w:rsid w:val="00A67375"/>
    <w:rsid w:val="00AA3208"/>
    <w:rsid w:val="00AE5135"/>
    <w:rsid w:val="00B23830"/>
    <w:rsid w:val="00B76678"/>
    <w:rsid w:val="00BE3CEC"/>
    <w:rsid w:val="00C077CC"/>
    <w:rsid w:val="00C278B4"/>
    <w:rsid w:val="00C42657"/>
    <w:rsid w:val="00D17249"/>
    <w:rsid w:val="00E16C52"/>
    <w:rsid w:val="00EA7ECD"/>
    <w:rsid w:val="00ED1373"/>
    <w:rsid w:val="00F36E21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FF97"/>
  <w15:docId w15:val="{A4771DFF-8EC4-4313-8076-5E579FD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1389"/>
  </w:style>
  <w:style w:type="paragraph" w:styleId="Podnoje">
    <w:name w:val="footer"/>
    <w:basedOn w:val="Normal"/>
    <w:link w:val="Podno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8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dcterms:created xsi:type="dcterms:W3CDTF">2023-11-15T07:34:00Z</dcterms:created>
  <dcterms:modified xsi:type="dcterms:W3CDTF">2023-11-15T07:34:00Z</dcterms:modified>
</cp:coreProperties>
</file>