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1" w:type="dxa"/>
        <w:tblInd w:w="0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312B3" w14:paraId="03AAA45F" w14:textId="77777777" w:rsidTr="008312B3">
        <w:trPr>
          <w:trHeight w:val="567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CAE3EC3" w14:textId="77777777" w:rsidR="008312B3" w:rsidRDefault="008312B3">
            <w:pPr>
              <w:spacing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312B3" w14:paraId="31B506A2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7088B5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6A70" w14:textId="0C0B5265" w:rsidR="008312B3" w:rsidRDefault="008312B3">
            <w:pPr>
              <w:pStyle w:val="NormalWeb"/>
              <w:spacing w:before="0" w:after="0"/>
              <w:jc w:val="both"/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Poslovnička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odluka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izmjenama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dopunama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Poslovnika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Općinskog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vijeća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Općine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Punat</w:t>
            </w:r>
          </w:p>
        </w:tc>
      </w:tr>
      <w:tr w:rsidR="008312B3" w14:paraId="1E946956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CC3452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DB7F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  </w:t>
            </w:r>
          </w:p>
        </w:tc>
      </w:tr>
      <w:tr w:rsidR="008312B3" w14:paraId="6CFCCBCC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99C5AF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C742" w14:textId="7FB5F7CA" w:rsidR="008312B3" w:rsidRDefault="008312B3" w:rsidP="008312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Predlaže</w:t>
            </w:r>
            <w:proofErr w:type="spellEnd"/>
            <w:r>
              <w:rPr>
                <w:rFonts w:ascii="Garamond" w:hAnsi="Garamond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Cs w:val="24"/>
              </w:rPr>
              <w:t>izmjena</w:t>
            </w:r>
            <w:proofErr w:type="spellEnd"/>
            <w:r>
              <w:rPr>
                <w:rFonts w:ascii="Garamond" w:hAnsi="Garamond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4"/>
              </w:rPr>
              <w:t>dopuna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Poslovnika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smislu</w:t>
            </w:r>
            <w:proofErr w:type="spellEnd"/>
            <w:r>
              <w:rPr>
                <w:rFonts w:ascii="Garamond" w:hAnsi="Garamond"/>
                <w:szCs w:val="24"/>
              </w:rPr>
              <w:t xml:space="preserve"> da se </w:t>
            </w:r>
            <w:proofErr w:type="spellStart"/>
            <w:r>
              <w:rPr>
                <w:rFonts w:ascii="Garamond" w:hAnsi="Garamond"/>
                <w:szCs w:val="24"/>
              </w:rPr>
              <w:t>dodaju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odredbe</w:t>
            </w:r>
            <w:proofErr w:type="spellEnd"/>
            <w:r>
              <w:rPr>
                <w:rFonts w:ascii="Garamond" w:hAnsi="Garamond"/>
                <w:szCs w:val="24"/>
              </w:rPr>
              <w:t xml:space="preserve"> o </w:t>
            </w:r>
            <w:proofErr w:type="spellStart"/>
            <w:r>
              <w:rPr>
                <w:rFonts w:ascii="Garamond" w:hAnsi="Garamond"/>
                <w:szCs w:val="24"/>
              </w:rPr>
              <w:t>prijenosu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sjednica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putem</w:t>
            </w:r>
            <w:proofErr w:type="spellEnd"/>
            <w:r>
              <w:rPr>
                <w:rFonts w:ascii="Garamond" w:hAnsi="Garamond"/>
                <w:szCs w:val="24"/>
              </w:rPr>
              <w:t xml:space="preserve"> internet </w:t>
            </w:r>
            <w:proofErr w:type="spellStart"/>
            <w:r>
              <w:rPr>
                <w:rFonts w:ascii="Garamond" w:hAnsi="Garamond"/>
                <w:szCs w:val="24"/>
              </w:rPr>
              <w:t>ili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medija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objavu</w:t>
            </w:r>
            <w:proofErr w:type="spellEnd"/>
            <w:r>
              <w:rPr>
                <w:rFonts w:ascii="Garamond" w:hAnsi="Garamond"/>
                <w:szCs w:val="24"/>
              </w:rPr>
              <w:t xml:space="preserve"> video i/</w:t>
            </w:r>
            <w:proofErr w:type="spellStart"/>
            <w:r>
              <w:rPr>
                <w:rFonts w:ascii="Garamond" w:hAnsi="Garamond"/>
                <w:szCs w:val="24"/>
              </w:rPr>
              <w:t>ili</w:t>
            </w:r>
            <w:proofErr w:type="spellEnd"/>
            <w:r>
              <w:rPr>
                <w:rFonts w:ascii="Garamond" w:hAnsi="Garamond"/>
                <w:szCs w:val="24"/>
              </w:rPr>
              <w:t xml:space="preserve"> audio </w:t>
            </w:r>
            <w:proofErr w:type="spellStart"/>
            <w:r>
              <w:rPr>
                <w:rFonts w:ascii="Garamond" w:hAnsi="Garamond"/>
                <w:szCs w:val="24"/>
              </w:rPr>
              <w:t>zapisa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održanih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sjednica</w:t>
            </w:r>
            <w:proofErr w:type="spellEnd"/>
            <w:r>
              <w:rPr>
                <w:rFonts w:ascii="Garamond" w:hAnsi="Garamond"/>
                <w:szCs w:val="24"/>
              </w:rPr>
              <w:t xml:space="preserve">, a s </w:t>
            </w:r>
            <w:proofErr w:type="spellStart"/>
            <w:r>
              <w:rPr>
                <w:rFonts w:ascii="Garamond" w:hAnsi="Garamond"/>
                <w:szCs w:val="24"/>
              </w:rPr>
              <w:t>obzirom</w:t>
            </w:r>
            <w:proofErr w:type="spellEnd"/>
            <w:r>
              <w:rPr>
                <w:rFonts w:ascii="Garamond" w:hAnsi="Garamond"/>
                <w:szCs w:val="24"/>
              </w:rPr>
              <w:t xml:space="preserve"> da </w:t>
            </w:r>
            <w:proofErr w:type="spellStart"/>
            <w:r>
              <w:rPr>
                <w:rFonts w:ascii="Garamond" w:hAnsi="Garamond"/>
                <w:szCs w:val="24"/>
              </w:rPr>
              <w:t>isto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potiče</w:t>
            </w:r>
            <w:proofErr w:type="spellEnd"/>
            <w:r>
              <w:rPr>
                <w:rFonts w:ascii="Garamond" w:hAnsi="Garamond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4"/>
              </w:rPr>
              <w:t>Povjerenik</w:t>
            </w:r>
            <w:proofErr w:type="spellEnd"/>
            <w:r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4"/>
              </w:rPr>
              <w:t>informiranje</w:t>
            </w:r>
            <w:proofErr w:type="spellEnd"/>
            <w:r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>
              <w:rPr>
                <w:rFonts w:ascii="Garamond" w:hAnsi="Garamond"/>
                <w:szCs w:val="22"/>
              </w:rPr>
              <w:t>provodi</w:t>
            </w:r>
            <w:proofErr w:type="spellEnd"/>
            <w:r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>
              <w:rPr>
                <w:rFonts w:ascii="Garamond" w:hAnsi="Garamond"/>
                <w:szCs w:val="22"/>
              </w:rPr>
              <w:t>prijedlogu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izmjena</w:t>
            </w:r>
            <w:proofErr w:type="spellEnd"/>
            <w:r>
              <w:rPr>
                <w:rFonts w:ascii="Garamond" w:hAnsi="Garamond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4"/>
              </w:rPr>
              <w:t>dopuna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Poslovnika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smislu</w:t>
            </w:r>
            <w:proofErr w:type="spellEnd"/>
            <w:r>
              <w:rPr>
                <w:rFonts w:ascii="Garamond" w:hAnsi="Garamond"/>
                <w:szCs w:val="24"/>
              </w:rPr>
              <w:t xml:space="preserve"> da se </w:t>
            </w:r>
            <w:proofErr w:type="spellStart"/>
            <w:r>
              <w:rPr>
                <w:rFonts w:ascii="Garamond" w:hAnsi="Garamond"/>
                <w:szCs w:val="24"/>
              </w:rPr>
              <w:t>dodaju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odredbe</w:t>
            </w:r>
            <w:proofErr w:type="spellEnd"/>
            <w:r>
              <w:rPr>
                <w:rFonts w:ascii="Garamond" w:hAnsi="Garamond"/>
                <w:szCs w:val="24"/>
              </w:rPr>
              <w:t xml:space="preserve"> o </w:t>
            </w:r>
            <w:proofErr w:type="spellStart"/>
            <w:r>
              <w:rPr>
                <w:rFonts w:ascii="Garamond" w:hAnsi="Garamond"/>
                <w:szCs w:val="24"/>
              </w:rPr>
              <w:t>prijenosu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sjednica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putem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interneta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ili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medija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objava</w:t>
            </w:r>
            <w:proofErr w:type="spellEnd"/>
            <w:r>
              <w:rPr>
                <w:rFonts w:ascii="Garamond" w:hAnsi="Garamond"/>
                <w:szCs w:val="24"/>
              </w:rPr>
              <w:t xml:space="preserve"> video i/</w:t>
            </w:r>
            <w:proofErr w:type="spellStart"/>
            <w:r>
              <w:rPr>
                <w:rFonts w:ascii="Garamond" w:hAnsi="Garamond"/>
                <w:szCs w:val="24"/>
              </w:rPr>
              <w:t>ili</w:t>
            </w:r>
            <w:proofErr w:type="spellEnd"/>
            <w:r>
              <w:rPr>
                <w:rFonts w:ascii="Garamond" w:hAnsi="Garamond"/>
                <w:szCs w:val="24"/>
              </w:rPr>
              <w:t xml:space="preserve"> audio </w:t>
            </w:r>
            <w:proofErr w:type="spellStart"/>
            <w:r>
              <w:rPr>
                <w:rFonts w:ascii="Garamond" w:hAnsi="Garamond"/>
                <w:szCs w:val="24"/>
              </w:rPr>
              <w:t>zapisa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održanih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sjednica</w:t>
            </w:r>
            <w:proofErr w:type="spellEnd"/>
            <w:r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szCs w:val="24"/>
              </w:rPr>
              <w:t>Istovremeno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treba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uzeti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obzir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specifičnosti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oblika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pristupa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informacijama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tehničkom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</w:t>
            </w:r>
            <w:r>
              <w:rPr>
                <w:rFonts w:ascii="Garamond" w:hAnsi="Garamond"/>
                <w:szCs w:val="24"/>
              </w:rPr>
              <w:t>m</w:t>
            </w:r>
            <w:r>
              <w:rPr>
                <w:rFonts w:ascii="Garamond" w:hAnsi="Garamond"/>
                <w:szCs w:val="24"/>
              </w:rPr>
              <w:t>islu</w:t>
            </w:r>
            <w:proofErr w:type="spellEnd"/>
            <w:r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Cs w:val="24"/>
              </w:rPr>
              <w:t>kao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što</w:t>
            </w:r>
            <w:proofErr w:type="spellEnd"/>
            <w:r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4"/>
              </w:rPr>
              <w:t>isto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treba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predvidjeti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određena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novčana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sredstva</w:t>
            </w:r>
            <w:proofErr w:type="spellEnd"/>
            <w:r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szCs w:val="24"/>
              </w:rPr>
              <w:t>Svakako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treba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predvidjeti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situacije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zaštite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osobnih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podataka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odredbi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članka</w:t>
            </w:r>
            <w:proofErr w:type="spellEnd"/>
            <w:r>
              <w:rPr>
                <w:rFonts w:ascii="Garamond" w:hAnsi="Garamond"/>
                <w:szCs w:val="24"/>
              </w:rPr>
              <w:t xml:space="preserve"> 109. </w:t>
            </w:r>
            <w:proofErr w:type="spellStart"/>
            <w:r>
              <w:rPr>
                <w:rFonts w:ascii="Garamond" w:hAnsi="Garamond"/>
                <w:szCs w:val="24"/>
              </w:rPr>
              <w:t>Poslovnika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vijeća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Punat. </w:t>
            </w:r>
            <w:proofErr w:type="spellStart"/>
            <w:r>
              <w:rPr>
                <w:rFonts w:ascii="Garamond" w:hAnsi="Garamond"/>
                <w:szCs w:val="24"/>
              </w:rPr>
              <w:t>Zbog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svega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navedenog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predlaže</w:t>
            </w:r>
            <w:proofErr w:type="spellEnd"/>
            <w:r>
              <w:rPr>
                <w:rFonts w:ascii="Garamond" w:hAnsi="Garamond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Cs w:val="24"/>
              </w:rPr>
              <w:t>predv</w:t>
            </w:r>
            <w:r>
              <w:rPr>
                <w:rFonts w:ascii="Garamond" w:hAnsi="Garamond"/>
                <w:szCs w:val="24"/>
              </w:rPr>
              <w:t>i</w:t>
            </w:r>
            <w:r>
              <w:rPr>
                <w:rFonts w:ascii="Garamond" w:hAnsi="Garamond"/>
                <w:szCs w:val="24"/>
              </w:rPr>
              <w:t>djeti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Poslovnikom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mogućnost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tonskog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i /</w:t>
            </w:r>
            <w:proofErr w:type="spellStart"/>
            <w:r>
              <w:rPr>
                <w:rFonts w:ascii="Garamond" w:hAnsi="Garamond"/>
                <w:szCs w:val="24"/>
              </w:rPr>
              <w:t>ili</w:t>
            </w:r>
            <w:proofErr w:type="spellEnd"/>
            <w:r>
              <w:rPr>
                <w:rFonts w:ascii="Garamond" w:hAnsi="Garamond"/>
                <w:szCs w:val="24"/>
              </w:rPr>
              <w:t xml:space="preserve"> video </w:t>
            </w:r>
            <w:proofErr w:type="spellStart"/>
            <w:r>
              <w:rPr>
                <w:rFonts w:ascii="Garamond" w:hAnsi="Garamond"/>
                <w:szCs w:val="24"/>
              </w:rPr>
              <w:t>snimanja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sjednica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izravnog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prenošenja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preko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medija</w:t>
            </w:r>
            <w:proofErr w:type="spellEnd"/>
            <w:r>
              <w:rPr>
                <w:rFonts w:ascii="Garamond" w:hAnsi="Garamond"/>
                <w:szCs w:val="24"/>
              </w:rPr>
              <w:t xml:space="preserve">, a </w:t>
            </w:r>
            <w:proofErr w:type="spellStart"/>
            <w:r>
              <w:rPr>
                <w:rFonts w:ascii="Garamond" w:hAnsi="Garamond"/>
                <w:szCs w:val="24"/>
              </w:rPr>
              <w:t>primjenu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dodatno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razraditi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posebnom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odlukom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vijeća</w:t>
            </w:r>
            <w:proofErr w:type="spellEnd"/>
            <w:r>
              <w:rPr>
                <w:rFonts w:ascii="Garamond" w:hAnsi="Garamond"/>
                <w:szCs w:val="24"/>
              </w:rPr>
              <w:t>.</w:t>
            </w:r>
          </w:p>
          <w:p w14:paraId="12A2D302" w14:textId="77777777" w:rsidR="008312B3" w:rsidRDefault="008312B3" w:rsidP="008312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</w:p>
          <w:p w14:paraId="2C41A251" w14:textId="2964936E" w:rsidR="008312B3" w:rsidRDefault="008312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8312B3" w14:paraId="23BD80C7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23512A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7C12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16.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kolovoza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2022.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312B3" w14:paraId="3CF94DA0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021BA6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27A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312B3" w14:paraId="39024911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23BBA8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EF47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Opći </w:t>
            </w:r>
            <w:proofErr w:type="spellStart"/>
            <w:r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312B3" w14:paraId="02A1BA4A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B9D596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AF1D" w14:textId="6FBD6C65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Poslovnička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odluka</w:t>
            </w:r>
            <w:proofErr w:type="spellEnd"/>
            <w:r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>
              <w:rPr>
                <w:rFonts w:ascii="Garamond" w:hAnsi="Garamond"/>
                <w:szCs w:val="22"/>
              </w:rPr>
              <w:t>izmjenama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dopunama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Poslovnika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Općinskog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vijeća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  <w:r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312B3" w14:paraId="0B8ACF79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7458B1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6F" w14:textId="77777777" w:rsidR="008312B3" w:rsidRDefault="008312B3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312B3" w14:paraId="35626603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4607C2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7D2A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312B3" w14:paraId="463CED9C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F04BF2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4800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zainteresiranih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8312B3" w14:paraId="3C4C11AA" w14:textId="77777777" w:rsidTr="008312B3">
        <w:trPr>
          <w:trHeight w:val="57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7449B2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4A3C0B34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7C86A60D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549D2A98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2C77FC63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C69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szCs w:val="22"/>
              </w:rPr>
              <w:t xml:space="preserve"> bio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službenoj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Punat.</w:t>
            </w:r>
          </w:p>
          <w:p w14:paraId="0EC0B5B3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  <w:p w14:paraId="1207476E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</w:tc>
      </w:tr>
      <w:tr w:rsidR="008312B3" w14:paraId="0809BEA6" w14:textId="77777777" w:rsidTr="008312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445" w14:textId="77777777" w:rsidR="008312B3" w:rsidRDefault="008312B3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8EA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dana 16. </w:t>
            </w:r>
            <w:proofErr w:type="spellStart"/>
            <w:r>
              <w:rPr>
                <w:rFonts w:ascii="Garamond" w:hAnsi="Garamond"/>
                <w:szCs w:val="22"/>
              </w:rPr>
              <w:t>kolovoza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: </w:t>
            </w:r>
            <w:hyperlink r:id="rId4" w:history="1">
              <w:r>
                <w:rPr>
                  <w:rStyle w:val="Hyperlink"/>
                  <w:rFonts w:ascii="Garamond" w:hAnsi="Garamond"/>
                  <w:szCs w:val="22"/>
                </w:rPr>
                <w:t>www.punat.hr</w:t>
              </w:r>
            </w:hyperlink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otvoreno</w:t>
            </w:r>
            <w:proofErr w:type="spellEnd"/>
            <w:r>
              <w:rPr>
                <w:rFonts w:ascii="Garamond" w:hAnsi="Garamond"/>
                <w:szCs w:val="22"/>
              </w:rPr>
              <w:t xml:space="preserve"> od 16. </w:t>
            </w:r>
            <w:proofErr w:type="spellStart"/>
            <w:r>
              <w:rPr>
                <w:rFonts w:ascii="Garamond" w:hAnsi="Garamond"/>
                <w:szCs w:val="22"/>
              </w:rPr>
              <w:t>kolovoza</w:t>
            </w:r>
            <w:proofErr w:type="spellEnd"/>
            <w:r>
              <w:rPr>
                <w:rFonts w:ascii="Garamond" w:hAnsi="Garamond"/>
                <w:szCs w:val="22"/>
              </w:rPr>
              <w:t xml:space="preserve"> do 16. </w:t>
            </w:r>
            <w:proofErr w:type="spellStart"/>
            <w:r>
              <w:rPr>
                <w:rFonts w:ascii="Garamond" w:hAnsi="Garamond"/>
                <w:szCs w:val="22"/>
              </w:rPr>
              <w:t>rujna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8312B3" w14:paraId="320A2D11" w14:textId="77777777" w:rsidTr="008312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A085" w14:textId="77777777" w:rsidR="008312B3" w:rsidRDefault="008312B3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3B0" w14:textId="77777777" w:rsidR="008312B3" w:rsidRDefault="008312B3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312B3" w14:paraId="2EE3B8BE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6FAEC1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0A31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Nitko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dostavio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očitovanje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8312B3" w14:paraId="68505433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331AAD" w14:textId="77777777" w:rsidR="008312B3" w:rsidRDefault="008312B3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lastRenderedPageBreak/>
              <w:t>ANALIZA DOSTAVLJENIH PRIMJEDBI</w:t>
            </w:r>
          </w:p>
          <w:p w14:paraId="50934DE4" w14:textId="77777777" w:rsidR="008312B3" w:rsidRDefault="008312B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3E200529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  <w:highlight w:val="yellow"/>
              </w:rPr>
            </w:pP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DDC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  <w:highlight w:val="yellow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312B3" w14:paraId="6AB5ECD8" w14:textId="77777777" w:rsidTr="008312B3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BB1C4A" w14:textId="77777777" w:rsidR="008312B3" w:rsidRDefault="008312B3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512" w14:textId="77777777" w:rsidR="008312B3" w:rsidRDefault="008312B3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04C1D97" w14:textId="77777777" w:rsidR="008312B3" w:rsidRDefault="008312B3" w:rsidP="008312B3"/>
    <w:p w14:paraId="4956E234" w14:textId="77777777" w:rsidR="008312B3" w:rsidRDefault="008312B3"/>
    <w:sectPr w:rsidR="0083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B3"/>
    <w:rsid w:val="008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BB3"/>
  <w15:chartTrackingRefBased/>
  <w15:docId w15:val="{148D81ED-DF89-434C-933D-CCC3D9D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B3"/>
    <w:pPr>
      <w:autoSpaceDN w:val="0"/>
      <w:spacing w:after="200" w:line="276" w:lineRule="auto"/>
    </w:pPr>
    <w:rPr>
      <w:rFonts w:ascii="Arial Narrow" w:hAnsi="Arial Narrow" w:cs="Times New Roman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2B3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8312B3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8312B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8312B3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8312B3"/>
    <w:pPr>
      <w:spacing w:after="0" w:line="240" w:lineRule="auto"/>
    </w:pPr>
    <w:rPr>
      <w:rFonts w:ascii="Arial Narrow" w:hAnsi="Arial Narrow" w:cs="Times New Roman"/>
      <w:szCs w:val="23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dcterms:created xsi:type="dcterms:W3CDTF">2022-09-19T08:05:00Z</dcterms:created>
  <dcterms:modified xsi:type="dcterms:W3CDTF">2022-09-19T08:09:00Z</dcterms:modified>
</cp:coreProperties>
</file>