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3E01B" w14:textId="77777777" w:rsidR="00FF497E" w:rsidRPr="00DA1BEF" w:rsidRDefault="00FF497E" w:rsidP="00FF497E">
      <w:pPr>
        <w:spacing w:before="2" w:after="0" w:line="160" w:lineRule="exact"/>
        <w:rPr>
          <w:sz w:val="20"/>
          <w:szCs w:val="20"/>
        </w:rPr>
      </w:pPr>
    </w:p>
    <w:tbl>
      <w:tblPr>
        <w:tblW w:w="980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4164"/>
      </w:tblGrid>
      <w:tr w:rsidR="00FF497E" w:rsidRPr="00DA1BEF" w14:paraId="4946FD4C" w14:textId="77777777" w:rsidTr="00FF497E">
        <w:trPr>
          <w:trHeight w:hRule="exact" w:val="973"/>
        </w:trPr>
        <w:tc>
          <w:tcPr>
            <w:tcW w:w="980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567941C0" w14:textId="77777777" w:rsidR="00FF497E" w:rsidRPr="004A5E84" w:rsidRDefault="00FF497E" w:rsidP="00C21B2F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04DC49B5" w14:textId="77777777" w:rsidR="00FF497E" w:rsidRPr="004A5E84" w:rsidRDefault="00FF497E" w:rsidP="00C21B2F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120447E6" w14:textId="77777777" w:rsidR="00FF497E" w:rsidRPr="00DA1BEF" w:rsidRDefault="00FF497E" w:rsidP="00C21B2F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FF497E" w:rsidRPr="00DA1BEF" w14:paraId="7F9F599A" w14:textId="77777777" w:rsidTr="00FF497E">
        <w:trPr>
          <w:trHeight w:hRule="exact" w:val="8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3703609" w14:textId="77777777" w:rsidR="00FF497E" w:rsidRPr="00DA1BEF" w:rsidRDefault="00FF497E" w:rsidP="00C21B2F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42D5C08D" w14:textId="77777777" w:rsidR="00FF497E" w:rsidRPr="00DA1BEF" w:rsidRDefault="00FF497E" w:rsidP="00C21B2F">
            <w:pPr>
              <w:spacing w:after="0" w:line="200" w:lineRule="exact"/>
              <w:rPr>
                <w:sz w:val="20"/>
                <w:szCs w:val="20"/>
              </w:rPr>
            </w:pPr>
          </w:p>
          <w:p w14:paraId="1D48AD6D" w14:textId="7777777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831FE06" w14:textId="36EBF395" w:rsidR="00FF497E" w:rsidRPr="00BC1139" w:rsidRDefault="00FF497E" w:rsidP="00C21B2F">
            <w:pPr>
              <w:spacing w:before="35" w:after="0" w:line="240" w:lineRule="auto"/>
              <w:ind w:right="256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proofErr w:type="spellStart"/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>Odluk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>privremenoj</w:t>
            </w:r>
            <w:proofErr w:type="spellEnd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>zabrani</w:t>
            </w:r>
            <w:proofErr w:type="spellEnd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>izvođenja</w:t>
            </w:r>
            <w:proofErr w:type="spellEnd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>radova</w:t>
            </w:r>
            <w:proofErr w:type="spellEnd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 xml:space="preserve"> u 2023. </w:t>
            </w:r>
            <w:proofErr w:type="spellStart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>godini</w:t>
            </w:r>
            <w:proofErr w:type="spellEnd"/>
            <w:r w:rsidRPr="00FF497E">
              <w:rPr>
                <w:rFonts w:eastAsia="Myriad Pro" w:cs="Myriad Pro"/>
                <w:color w:val="231F20"/>
                <w:sz w:val="20"/>
                <w:szCs w:val="20"/>
              </w:rPr>
              <w:t xml:space="preserve">  </w:t>
            </w:r>
          </w:p>
          <w:p w14:paraId="00EAF457" w14:textId="77777777" w:rsidR="00FF497E" w:rsidRPr="002C137A" w:rsidRDefault="00FF497E" w:rsidP="00C21B2F">
            <w:pPr>
              <w:spacing w:before="35" w:after="0" w:line="240" w:lineRule="auto"/>
              <w:ind w:right="256"/>
              <w:rPr>
                <w:sz w:val="20"/>
                <w:szCs w:val="20"/>
              </w:rPr>
            </w:pPr>
          </w:p>
          <w:p w14:paraId="50AC5E02" w14:textId="77777777" w:rsidR="00FF497E" w:rsidRPr="00DA1BEF" w:rsidRDefault="00FF497E" w:rsidP="00C21B2F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FF497E" w:rsidRPr="00DA1BEF" w14:paraId="5594AEDB" w14:textId="77777777" w:rsidTr="00FF497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F3D5D50" w14:textId="77777777" w:rsidR="00FF497E" w:rsidRPr="00DA1BEF" w:rsidRDefault="00FF497E" w:rsidP="00C21B2F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0317CFD" w14:textId="77777777" w:rsidR="00FF497E" w:rsidRPr="00DA1BEF" w:rsidRDefault="00FF497E" w:rsidP="00C21B2F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</w:p>
        </w:tc>
      </w:tr>
      <w:tr w:rsidR="00FF497E" w:rsidRPr="00DA1BEF" w14:paraId="4E51CE30" w14:textId="77777777" w:rsidTr="00FF497E">
        <w:trPr>
          <w:trHeight w:hRule="exact" w:val="571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404E332" w14:textId="77777777" w:rsidR="00FF497E" w:rsidRPr="00450448" w:rsidRDefault="00FF497E" w:rsidP="00C21B2F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0A8CD4A0" w14:textId="77777777" w:rsidR="00FF497E" w:rsidRPr="00450448" w:rsidRDefault="00FF497E" w:rsidP="00C21B2F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7C5C156" w14:textId="77777777" w:rsidR="00FF497E" w:rsidRPr="00450448" w:rsidRDefault="00FF497E" w:rsidP="00C21B2F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450448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vrha</w:t>
            </w:r>
            <w:proofErr w:type="spellEnd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1BDFE29" w14:textId="77777777" w:rsidR="00FF497E" w:rsidRPr="00FF497E" w:rsidRDefault="00FF497E" w:rsidP="00FF497E">
            <w:pPr>
              <w:widowControl/>
              <w:spacing w:after="0" w:line="240" w:lineRule="auto"/>
              <w:jc w:val="both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Sukladno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članku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132.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stavku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1.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Zakona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o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gradnji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(„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Narodne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497E">
              <w:rPr>
                <w:rFonts w:eastAsia="Myriad Pro" w:cstheme="minorHAnsi"/>
                <w:sz w:val="20"/>
                <w:szCs w:val="20"/>
              </w:rPr>
              <w:t>novine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“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broj</w:t>
            </w:r>
            <w:proofErr w:type="spellEnd"/>
            <w:proofErr w:type="gramEnd"/>
            <w:r w:rsidRPr="00FF497E">
              <w:rPr>
                <w:rFonts w:eastAsia="Myriad Pro" w:cstheme="minorHAnsi"/>
                <w:sz w:val="20"/>
                <w:szCs w:val="20"/>
              </w:rPr>
              <w:t xml:space="preserve"> 153/13, 20/17, 39/19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125/19)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predstavničko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tijelo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jedinice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lokalne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samouprave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po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prethodno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pribavljenom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mišljenju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turističke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zajednice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općine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može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odlukom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određene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vrste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određenim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područjima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odrediti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razdoblje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iduće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kalendarske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godine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vrijeme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kojemu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se ne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mogu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izvoditi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zemljani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izgradnji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konstrukcije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. 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Stavak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2.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istog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članka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propisuje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da se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odluka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ne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odnosi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na:1.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odnosno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čije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je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odnosno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izvođenje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utvrđen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interes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Republike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Hrvatske,2.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uklanjanje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temelju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rješenja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građevinske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inspekcije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ili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odluke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drugog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tijela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državne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vlasti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3.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odnosno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izvođenje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godini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kojoj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je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odluka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stupila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snagu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. </w:t>
            </w:r>
          </w:p>
          <w:p w14:paraId="2DD48DD4" w14:textId="50CC463B" w:rsidR="00FF497E" w:rsidRPr="006E74C4" w:rsidRDefault="00FF497E" w:rsidP="00FF497E">
            <w:pPr>
              <w:widowControl/>
              <w:spacing w:after="0" w:line="240" w:lineRule="auto"/>
              <w:jc w:val="both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Ovom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odlukom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predlaže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zabrana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izvođenje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zemljanih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izgradnji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konstrukcije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području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Općine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Punat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zonama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definirane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Prostornim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planom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uređenja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Općine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Punat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(UPU1, UPU2, UPU3, UPU4, UPU6, UPU8, UPU9 </w:t>
            </w:r>
            <w:proofErr w:type="spellStart"/>
            <w:proofErr w:type="gram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ostala</w:t>
            </w:r>
            <w:proofErr w:type="spellEnd"/>
            <w:proofErr w:type="gram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područja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udaljena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manje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od 100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metara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granica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područja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zona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prethodnih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točaka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)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to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razdoblju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od 1.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lipnja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do 15.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rujna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2023.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godine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,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vremenu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od 0,00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do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24,00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sata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.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Ovom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Odlukom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predlaže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dopustiti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privremeno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izvođenje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nužnih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zemljanih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radova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izgradnji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konstrukcije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građevine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kada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zbog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oštećenja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postoji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opasnost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život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zdravlje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ljudi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imovinu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veće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vrijednosti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te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u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svrhu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provođenja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Projekta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izgradnje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širokopojasne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mreže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sljedeće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generacije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otoku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FF497E">
              <w:rPr>
                <w:rFonts w:eastAsia="Myriad Pro" w:cstheme="minorHAnsi"/>
                <w:sz w:val="20"/>
                <w:szCs w:val="20"/>
              </w:rPr>
              <w:t>Krku</w:t>
            </w:r>
            <w:proofErr w:type="spellEnd"/>
            <w:r w:rsidRPr="00FF497E">
              <w:rPr>
                <w:rFonts w:eastAsia="Myriad Pro" w:cstheme="minorHAnsi"/>
                <w:sz w:val="20"/>
                <w:szCs w:val="20"/>
              </w:rPr>
              <w:t xml:space="preserve"> K.K.02.1.1.01.0020.</w:t>
            </w:r>
          </w:p>
        </w:tc>
      </w:tr>
      <w:tr w:rsidR="00FF497E" w:rsidRPr="00DA1BEF" w14:paraId="4FF7FED2" w14:textId="77777777" w:rsidTr="00FF497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35FEEEA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025D5AEE" w14:textId="7777777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27620B8" w14:textId="77777777" w:rsidR="00FF497E" w:rsidRPr="006E74C4" w:rsidRDefault="00FF497E" w:rsidP="00C21B2F">
            <w:pPr>
              <w:spacing w:before="3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18D21EE5" w14:textId="7844150F" w:rsidR="00FF497E" w:rsidRPr="006E74C4" w:rsidRDefault="00AF3D50" w:rsidP="00C21B2F">
            <w:pPr>
              <w:spacing w:after="0" w:line="240" w:lineRule="auto"/>
              <w:ind w:right="-20"/>
              <w:rPr>
                <w:rFonts w:eastAsia="Myriad Pro" w:cstheme="minorHAnsi"/>
                <w:sz w:val="20"/>
                <w:szCs w:val="20"/>
              </w:rPr>
            </w:pPr>
            <w:r>
              <w:rPr>
                <w:rFonts w:eastAsia="Myriad Pro" w:cstheme="minorHAnsi"/>
                <w:color w:val="231F20"/>
                <w:sz w:val="20"/>
                <w:szCs w:val="20"/>
              </w:rPr>
              <w:t>21</w:t>
            </w:r>
            <w:r w:rsidR="00FF497E" w:rsidRPr="006E74C4">
              <w:rPr>
                <w:rFonts w:eastAsia="Myriad Pro" w:cstheme="minorHAnsi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listopada</w:t>
            </w:r>
            <w:proofErr w:type="spell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r w:rsidR="00FF497E" w:rsidRPr="006E74C4">
              <w:rPr>
                <w:rFonts w:eastAsia="Myriad Pro" w:cstheme="minorHAnsi"/>
                <w:color w:val="231F20"/>
                <w:sz w:val="20"/>
                <w:szCs w:val="20"/>
              </w:rPr>
              <w:t>202</w:t>
            </w:r>
            <w:r w:rsidR="00FF497E">
              <w:rPr>
                <w:rFonts w:eastAsia="Myriad Pro" w:cstheme="minorHAnsi"/>
                <w:color w:val="231F20"/>
                <w:sz w:val="20"/>
                <w:szCs w:val="20"/>
              </w:rPr>
              <w:t>2</w:t>
            </w:r>
            <w:r w:rsidR="00FF497E" w:rsidRPr="006E74C4">
              <w:rPr>
                <w:rFonts w:eastAsia="Myriad Pro" w:cstheme="minorHAnsi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FF497E" w:rsidRPr="006E74C4">
              <w:rPr>
                <w:rFonts w:eastAsia="Myriad Pro" w:cstheme="minorHAnsi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FF497E" w:rsidRPr="00DA1BEF" w14:paraId="530DBF61" w14:textId="77777777" w:rsidTr="00B100FB">
        <w:trPr>
          <w:trHeight w:hRule="exact" w:val="44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7F7B100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44E50B9" w14:textId="7777777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B7BAFA1" w14:textId="0F5BB6B8" w:rsidR="00FF497E" w:rsidRPr="006E74C4" w:rsidRDefault="00FF497E" w:rsidP="00C21B2F">
            <w:pPr>
              <w:rPr>
                <w:rFonts w:cstheme="minorHAnsi"/>
                <w:sz w:val="20"/>
                <w:szCs w:val="20"/>
              </w:rPr>
            </w:pPr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74C4">
              <w:rPr>
                <w:rFonts w:cstheme="minorHAnsi"/>
                <w:sz w:val="20"/>
                <w:szCs w:val="20"/>
              </w:rPr>
              <w:t>Prijedlog</w:t>
            </w:r>
            <w:proofErr w:type="spellEnd"/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74C4">
              <w:rPr>
                <w:rFonts w:cstheme="minorHAnsi"/>
                <w:sz w:val="20"/>
                <w:szCs w:val="20"/>
              </w:rPr>
              <w:t>odluke</w:t>
            </w:r>
            <w:proofErr w:type="spellEnd"/>
            <w:r w:rsidRPr="00BC1139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</w:t>
            </w:r>
            <w:r w:rsidR="00AF3D50" w:rsidRPr="00AF3D50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privremenoj zabrani izvođenja radova u 2023. godini  </w:t>
            </w:r>
          </w:p>
        </w:tc>
      </w:tr>
      <w:tr w:rsidR="00FF497E" w:rsidRPr="00DA1BEF" w14:paraId="0940E8A6" w14:textId="77777777" w:rsidTr="00B100FB">
        <w:trPr>
          <w:trHeight w:hRule="exact" w:val="55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173CADF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23AB6A9" w14:textId="7777777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17E4F95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5BFC6F7" w14:textId="77777777" w:rsidR="00FF497E" w:rsidRPr="00DA1BEF" w:rsidRDefault="00FF497E" w:rsidP="00C21B2F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FF497E" w:rsidRPr="00DA1BEF" w14:paraId="2C901D66" w14:textId="77777777" w:rsidTr="00FF497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A29CB00" w14:textId="77777777" w:rsidR="00FF497E" w:rsidRPr="00DA1BEF" w:rsidRDefault="00FF497E" w:rsidP="00C21B2F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05D764C" w14:textId="250ACBD2" w:rsidR="00FF497E" w:rsidRPr="00DA1BEF" w:rsidRDefault="00FF497E" w:rsidP="00C21B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 w:rsidR="00AF3D50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F3D50" w:rsidRPr="00AF3D50">
              <w:rPr>
                <w:sz w:val="20"/>
                <w:szCs w:val="20"/>
              </w:rPr>
              <w:t>privremenoj</w:t>
            </w:r>
            <w:proofErr w:type="spellEnd"/>
            <w:r w:rsidR="00AF3D50" w:rsidRPr="00AF3D50">
              <w:rPr>
                <w:sz w:val="20"/>
                <w:szCs w:val="20"/>
              </w:rPr>
              <w:t xml:space="preserve"> </w:t>
            </w:r>
            <w:proofErr w:type="spellStart"/>
            <w:r w:rsidR="00AF3D50" w:rsidRPr="00AF3D50">
              <w:rPr>
                <w:sz w:val="20"/>
                <w:szCs w:val="20"/>
              </w:rPr>
              <w:t>zabrani</w:t>
            </w:r>
            <w:proofErr w:type="spellEnd"/>
            <w:r w:rsidR="00AF3D50" w:rsidRPr="00AF3D50">
              <w:rPr>
                <w:sz w:val="20"/>
                <w:szCs w:val="20"/>
              </w:rPr>
              <w:t xml:space="preserve"> </w:t>
            </w:r>
            <w:proofErr w:type="spellStart"/>
            <w:r w:rsidR="00AF3D50" w:rsidRPr="00AF3D50">
              <w:rPr>
                <w:sz w:val="20"/>
                <w:szCs w:val="20"/>
              </w:rPr>
              <w:t>izvođenja</w:t>
            </w:r>
            <w:proofErr w:type="spellEnd"/>
            <w:r w:rsidR="00AF3D50" w:rsidRPr="00AF3D50">
              <w:rPr>
                <w:sz w:val="20"/>
                <w:szCs w:val="20"/>
              </w:rPr>
              <w:t xml:space="preserve"> </w:t>
            </w:r>
            <w:proofErr w:type="spellStart"/>
            <w:r w:rsidR="00AF3D50" w:rsidRPr="00AF3D50">
              <w:rPr>
                <w:sz w:val="20"/>
                <w:szCs w:val="20"/>
              </w:rPr>
              <w:t>radova</w:t>
            </w:r>
            <w:proofErr w:type="spellEnd"/>
            <w:r w:rsidR="00AF3D50" w:rsidRPr="00AF3D50">
              <w:rPr>
                <w:sz w:val="20"/>
                <w:szCs w:val="20"/>
              </w:rPr>
              <w:t xml:space="preserve"> u 2023. </w:t>
            </w:r>
            <w:proofErr w:type="spellStart"/>
            <w:r w:rsidR="00AF3D50" w:rsidRPr="00AF3D50">
              <w:rPr>
                <w:sz w:val="20"/>
                <w:szCs w:val="20"/>
              </w:rPr>
              <w:t>godini</w:t>
            </w:r>
            <w:proofErr w:type="spellEnd"/>
            <w:r w:rsidR="00AF3D50" w:rsidRPr="00AF3D50">
              <w:rPr>
                <w:sz w:val="20"/>
                <w:szCs w:val="20"/>
              </w:rPr>
              <w:t xml:space="preserve">  </w:t>
            </w:r>
          </w:p>
        </w:tc>
      </w:tr>
      <w:tr w:rsidR="00FF497E" w:rsidRPr="00DA1BEF" w14:paraId="23F8C21F" w14:textId="77777777" w:rsidTr="00FF497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FC49917" w14:textId="77777777" w:rsidR="00FF497E" w:rsidRPr="00DA1BEF" w:rsidRDefault="00FF497E" w:rsidP="00C21B2F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431C253" w14:textId="5AC58443" w:rsidR="00FF497E" w:rsidRPr="00DA1BEF" w:rsidRDefault="00FF497E" w:rsidP="00C2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FF497E" w:rsidRPr="00DA1BEF" w14:paraId="3E527AD7" w14:textId="77777777" w:rsidTr="00B100FB">
        <w:trPr>
          <w:trHeight w:hRule="exact" w:val="65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93BDC2E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87A9E0A" w14:textId="7777777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30DAA7F" w14:textId="77777777" w:rsidR="00FF497E" w:rsidRPr="00DA1BEF" w:rsidRDefault="00FF497E" w:rsidP="00C2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Punat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komunalno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gospodarstvo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prostorno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FF497E" w:rsidRPr="00DA1BEF" w14:paraId="6DBE3889" w14:textId="77777777" w:rsidTr="00FF497E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D3F667E" w14:textId="77777777" w:rsidR="00FF497E" w:rsidRPr="00DA1BEF" w:rsidRDefault="00FF497E" w:rsidP="00C21B2F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rad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44BDF32" w14:textId="77777777" w:rsidR="00FF497E" w:rsidRPr="00DA1BEF" w:rsidRDefault="00FF497E" w:rsidP="00C2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497E" w:rsidRPr="00DA1BEF" w14:paraId="01206D5D" w14:textId="77777777" w:rsidTr="00FF497E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58BC287" w14:textId="77777777" w:rsidR="00FF497E" w:rsidRPr="00DA1BEF" w:rsidRDefault="00FF497E" w:rsidP="00C21B2F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li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14:paraId="4DB2781A" w14:textId="77777777" w:rsidR="00FF497E" w:rsidRPr="00DA1BEF" w:rsidRDefault="00FF497E" w:rsidP="00C21B2F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14:paraId="52B66D16" w14:textId="77777777" w:rsidR="00FF497E" w:rsidRPr="00DA1BEF" w:rsidRDefault="00FF497E" w:rsidP="00C21B2F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lastRenderedPageBreak/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14:paraId="3B83D78F" w14:textId="77777777" w:rsidR="00FF497E" w:rsidRPr="00DA1BEF" w:rsidRDefault="00FF497E" w:rsidP="00C21B2F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BF1585F" w14:textId="77777777" w:rsidR="00FF497E" w:rsidRPr="00DA1BEF" w:rsidRDefault="00FF497E" w:rsidP="00C2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DA</w:t>
            </w: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4D82309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2C4C0AC" w14:textId="77777777" w:rsidR="00FF497E" w:rsidRPr="00485E16" w:rsidRDefault="00FF497E" w:rsidP="00C21B2F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FF497E" w:rsidRPr="00DA1BEF" w14:paraId="14BAD615" w14:textId="77777777" w:rsidTr="00FF497E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4104B65" w14:textId="77777777" w:rsidR="00FF497E" w:rsidRPr="00DA1BEF" w:rsidRDefault="00FF497E" w:rsidP="00C21B2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0294DE4" w14:textId="77777777" w:rsidR="00FF497E" w:rsidRPr="00DA1BEF" w:rsidRDefault="00FF497E" w:rsidP="00C21B2F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B9DEDDC" w14:textId="77777777" w:rsidR="00FF497E" w:rsidRPr="00DA1BEF" w:rsidRDefault="00FF497E" w:rsidP="00C21B2F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FF497E" w:rsidRPr="00DA1BEF" w14:paraId="58185D5A" w14:textId="77777777" w:rsidTr="00FF497E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EB3B034" w14:textId="77777777" w:rsidR="00FF497E" w:rsidRPr="00DA1BEF" w:rsidRDefault="00FF497E" w:rsidP="00C21B2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E7BAD28" w14:textId="77777777" w:rsidR="00FF497E" w:rsidRPr="00DA1BEF" w:rsidRDefault="00FF497E" w:rsidP="00C21B2F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9AEB172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DDA3B0F" w14:textId="0EB9EF9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proofErr w:type="gramStart"/>
            <w:r w:rsidR="00AF3D50">
              <w:rPr>
                <w:rFonts w:eastAsia="Myriad Pro" w:cs="Myriad Pro"/>
                <w:sz w:val="20"/>
                <w:szCs w:val="20"/>
              </w:rPr>
              <w:t>21</w:t>
            </w:r>
            <w:r>
              <w:rPr>
                <w:rFonts w:eastAsia="Myriad Pro" w:cs="Myriad Pro"/>
                <w:sz w:val="20"/>
                <w:szCs w:val="20"/>
              </w:rPr>
              <w:t>.</w:t>
            </w:r>
            <w:r w:rsidR="00AF3D50">
              <w:rPr>
                <w:rFonts w:eastAsia="Myriad Pro" w:cs="Myriad Pro"/>
                <w:sz w:val="20"/>
                <w:szCs w:val="20"/>
              </w:rPr>
              <w:t>listopada</w:t>
            </w:r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– </w:t>
            </w:r>
            <w:r w:rsidR="00AF3D50">
              <w:rPr>
                <w:rFonts w:eastAsia="Myriad Pro" w:cs="Myriad Pro"/>
                <w:sz w:val="20"/>
                <w:szCs w:val="20"/>
              </w:rPr>
              <w:t>21</w:t>
            </w:r>
            <w:r>
              <w:rPr>
                <w:rFonts w:eastAsia="Myriad Pro" w:cs="Myriad Pro"/>
                <w:sz w:val="20"/>
                <w:szCs w:val="20"/>
              </w:rPr>
              <w:t xml:space="preserve">. </w:t>
            </w:r>
            <w:proofErr w:type="spellStart"/>
            <w:r w:rsidR="00737C9E">
              <w:rPr>
                <w:rFonts w:eastAsia="Myriad Pro" w:cs="Myriad Pro"/>
                <w:sz w:val="20"/>
                <w:szCs w:val="20"/>
              </w:rPr>
              <w:t>studenog</w:t>
            </w:r>
            <w:proofErr w:type="spellEnd"/>
            <w:r>
              <w:rPr>
                <w:rFonts w:eastAsia="Myriad Pro" w:cs="Myriad Pro"/>
                <w:sz w:val="20"/>
                <w:szCs w:val="20"/>
              </w:rPr>
              <w:t xml:space="preserve"> 2022.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godine</w:t>
            </w:r>
            <w:proofErr w:type="spellEnd"/>
          </w:p>
        </w:tc>
      </w:tr>
      <w:tr w:rsidR="00FF497E" w:rsidRPr="00DA1BEF" w14:paraId="245030DD" w14:textId="77777777" w:rsidTr="00B100FB">
        <w:trPr>
          <w:trHeight w:hRule="exact" w:val="275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9C23AA9" w14:textId="77777777" w:rsidR="00FF497E" w:rsidRPr="00DA1BEF" w:rsidRDefault="00FF497E" w:rsidP="00C21B2F">
            <w:pPr>
              <w:rPr>
                <w:sz w:val="20"/>
                <w:szCs w:val="2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B512DA0" w14:textId="77777777" w:rsidR="00FF497E" w:rsidRPr="00DA1BEF" w:rsidRDefault="00FF497E" w:rsidP="00C21B2F">
            <w:pPr>
              <w:rPr>
                <w:sz w:val="20"/>
                <w:szCs w:val="20"/>
              </w:rPr>
            </w:pPr>
          </w:p>
        </w:tc>
      </w:tr>
      <w:tr w:rsidR="00FF497E" w:rsidRPr="00DA1BEF" w14:paraId="263874BE" w14:textId="77777777" w:rsidTr="00FF497E">
        <w:trPr>
          <w:trHeight w:hRule="exact" w:val="71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36F4AC1" w14:textId="77777777" w:rsidR="00FF497E" w:rsidRPr="00DA1BEF" w:rsidRDefault="00FF497E" w:rsidP="00C21B2F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F9397FE" w14:textId="4FA01566" w:rsidR="00FF497E" w:rsidRDefault="00FF497E" w:rsidP="00C21B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37C9E" w:rsidRPr="00737C9E">
              <w:rPr>
                <w:sz w:val="20"/>
                <w:szCs w:val="20"/>
              </w:rPr>
              <w:t>Nije</w:t>
            </w:r>
            <w:proofErr w:type="spellEnd"/>
            <w:r w:rsidR="00737C9E" w:rsidRPr="00737C9E">
              <w:rPr>
                <w:sz w:val="20"/>
                <w:szCs w:val="20"/>
              </w:rPr>
              <w:t xml:space="preserve"> </w:t>
            </w:r>
            <w:proofErr w:type="spellStart"/>
            <w:r w:rsidR="00737C9E" w:rsidRPr="00737C9E">
              <w:rPr>
                <w:sz w:val="20"/>
                <w:szCs w:val="20"/>
              </w:rPr>
              <w:t>pristigla</w:t>
            </w:r>
            <w:proofErr w:type="spellEnd"/>
            <w:r w:rsidR="00737C9E" w:rsidRPr="00737C9E">
              <w:rPr>
                <w:sz w:val="20"/>
                <w:szCs w:val="20"/>
              </w:rPr>
              <w:t xml:space="preserve"> </w:t>
            </w:r>
            <w:proofErr w:type="spellStart"/>
            <w:r w:rsidR="00737C9E" w:rsidRPr="00737C9E">
              <w:rPr>
                <w:sz w:val="20"/>
                <w:szCs w:val="20"/>
              </w:rPr>
              <w:t>nijedna</w:t>
            </w:r>
            <w:proofErr w:type="spellEnd"/>
            <w:r w:rsidR="00737C9E" w:rsidRPr="00737C9E">
              <w:rPr>
                <w:sz w:val="20"/>
                <w:szCs w:val="20"/>
              </w:rPr>
              <w:t xml:space="preserve"> </w:t>
            </w:r>
            <w:proofErr w:type="spellStart"/>
            <w:r w:rsidR="00737C9E" w:rsidRPr="00737C9E">
              <w:rPr>
                <w:sz w:val="20"/>
                <w:szCs w:val="20"/>
              </w:rPr>
              <w:t>primjedba</w:t>
            </w:r>
            <w:proofErr w:type="spellEnd"/>
            <w:r w:rsidR="00737C9E" w:rsidRPr="00737C9E">
              <w:rPr>
                <w:sz w:val="20"/>
                <w:szCs w:val="20"/>
              </w:rPr>
              <w:t>/</w:t>
            </w:r>
            <w:proofErr w:type="spellStart"/>
            <w:r w:rsidR="00737C9E" w:rsidRPr="00737C9E">
              <w:rPr>
                <w:sz w:val="20"/>
                <w:szCs w:val="20"/>
              </w:rPr>
              <w:t>prijedlog</w:t>
            </w:r>
            <w:proofErr w:type="spellEnd"/>
            <w:r w:rsidR="00737C9E" w:rsidRPr="00737C9E">
              <w:rPr>
                <w:sz w:val="20"/>
                <w:szCs w:val="20"/>
              </w:rPr>
              <w:t>.</w:t>
            </w:r>
          </w:p>
          <w:p w14:paraId="6C3AC8DB" w14:textId="77777777" w:rsidR="00FF497E" w:rsidRPr="00DA1BEF" w:rsidRDefault="00FF497E" w:rsidP="00C2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FF497E" w:rsidRPr="00DA1BEF" w14:paraId="3CAAAD6D" w14:textId="77777777" w:rsidTr="00C152B3">
        <w:trPr>
          <w:trHeight w:hRule="exact" w:val="85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EE3682D" w14:textId="77777777" w:rsidR="00FF497E" w:rsidRPr="00DA1BEF" w:rsidRDefault="00FF497E" w:rsidP="00C21B2F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FC6BB9C" w14:textId="47D76F6F" w:rsidR="00FF497E" w:rsidRDefault="00737C9E" w:rsidP="00C21B2F">
            <w:pPr>
              <w:spacing w:after="0"/>
              <w:rPr>
                <w:sz w:val="20"/>
                <w:szCs w:val="20"/>
              </w:rPr>
            </w:pPr>
            <w:proofErr w:type="spellStart"/>
            <w:r w:rsidRPr="00737C9E">
              <w:rPr>
                <w:sz w:val="20"/>
                <w:szCs w:val="20"/>
              </w:rPr>
              <w:t>Nije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pristigla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nijedna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primjedba</w:t>
            </w:r>
            <w:proofErr w:type="spellEnd"/>
            <w:r w:rsidRPr="00737C9E">
              <w:rPr>
                <w:sz w:val="20"/>
                <w:szCs w:val="20"/>
              </w:rPr>
              <w:t>/</w:t>
            </w:r>
            <w:proofErr w:type="spellStart"/>
            <w:r w:rsidRPr="00737C9E">
              <w:rPr>
                <w:sz w:val="20"/>
                <w:szCs w:val="20"/>
              </w:rPr>
              <w:t>prijedlog</w:t>
            </w:r>
            <w:proofErr w:type="spellEnd"/>
            <w:r w:rsidRPr="00737C9E">
              <w:rPr>
                <w:sz w:val="20"/>
                <w:szCs w:val="20"/>
              </w:rPr>
              <w:t>.</w:t>
            </w:r>
          </w:p>
          <w:p w14:paraId="76180D09" w14:textId="77777777" w:rsidR="00FF497E" w:rsidRDefault="00FF497E" w:rsidP="00C21B2F">
            <w:pPr>
              <w:spacing w:after="0"/>
              <w:rPr>
                <w:sz w:val="20"/>
                <w:szCs w:val="20"/>
              </w:rPr>
            </w:pPr>
          </w:p>
          <w:p w14:paraId="13B90969" w14:textId="77777777" w:rsidR="00FF497E" w:rsidRPr="00DA1BEF" w:rsidRDefault="00FF497E" w:rsidP="00C21B2F">
            <w:pPr>
              <w:spacing w:after="0"/>
              <w:rPr>
                <w:sz w:val="20"/>
                <w:szCs w:val="20"/>
              </w:rPr>
            </w:pPr>
          </w:p>
        </w:tc>
      </w:tr>
      <w:tr w:rsidR="00FF497E" w:rsidRPr="00DA1BEF" w14:paraId="256FD9F5" w14:textId="77777777" w:rsidTr="00C152B3">
        <w:trPr>
          <w:trHeight w:hRule="exact" w:val="56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ACC15D8" w14:textId="77777777" w:rsidR="00FF497E" w:rsidRPr="00DA1BEF" w:rsidRDefault="00FF497E" w:rsidP="00C21B2F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026F0B37" w14:textId="77777777" w:rsidR="00FF497E" w:rsidRPr="00DA1BEF" w:rsidRDefault="00FF497E" w:rsidP="00C21B2F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90DE750" w14:textId="77777777" w:rsidR="00FF497E" w:rsidRPr="00DA1BEF" w:rsidRDefault="00FF497E" w:rsidP="00C2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14:paraId="4F095A27" w14:textId="77777777" w:rsidR="00FF497E" w:rsidRPr="00DA1BEF" w:rsidRDefault="00FF497E" w:rsidP="00FF497E">
      <w:pPr>
        <w:rPr>
          <w:sz w:val="20"/>
          <w:szCs w:val="20"/>
        </w:rPr>
      </w:pPr>
    </w:p>
    <w:p w14:paraId="34D47551" w14:textId="77777777" w:rsidR="00FF497E" w:rsidRDefault="00FF497E" w:rsidP="00FF497E"/>
    <w:p w14:paraId="55A57486" w14:textId="77777777" w:rsidR="00FF497E" w:rsidRDefault="00FF497E" w:rsidP="00FF497E"/>
    <w:p w14:paraId="47741930" w14:textId="77777777" w:rsidR="00FF497E" w:rsidRDefault="00FF497E" w:rsidP="00FF497E"/>
    <w:p w14:paraId="4BF71E7A" w14:textId="77777777" w:rsidR="00E26DAB" w:rsidRDefault="00B100FB"/>
    <w:sectPr w:rsidR="00E26DAB" w:rsidSect="00CA42D6">
      <w:footerReference w:type="default" r:id="rId4"/>
      <w:pgSz w:w="11900" w:h="16840"/>
      <w:pgMar w:top="284" w:right="1280" w:bottom="840" w:left="1020" w:header="0" w:footer="6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F1D4" w14:textId="77777777" w:rsidR="001D7128" w:rsidRDefault="00B100FB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AAF74" wp14:editId="22C9C3F8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FB7DE" w14:textId="77777777" w:rsidR="001D7128" w:rsidRDefault="00B100FB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AA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316FB7DE" w14:textId="77777777" w:rsidR="001D7128" w:rsidRDefault="00B100FB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7E"/>
    <w:rsid w:val="0010378C"/>
    <w:rsid w:val="002B5F39"/>
    <w:rsid w:val="00737C9E"/>
    <w:rsid w:val="008C19C8"/>
    <w:rsid w:val="00AF3D50"/>
    <w:rsid w:val="00B100FB"/>
    <w:rsid w:val="00C152B3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7C22"/>
  <w15:chartTrackingRefBased/>
  <w15:docId w15:val="{A05AA62A-FE36-4EEB-A3F4-6430066E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7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2022-11-22T06:22:00Z</dcterms:created>
  <dcterms:modified xsi:type="dcterms:W3CDTF">2022-11-22T06:29:00Z</dcterms:modified>
</cp:coreProperties>
</file>