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1C2E0E" w:rsidP="00A978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</w:t>
            </w:r>
            <w:proofErr w:type="spellStart"/>
            <w:r>
              <w:rPr>
                <w:rFonts w:ascii="Garamond" w:hAnsi="Garamond"/>
              </w:rPr>
              <w:t>Izmjena</w:t>
            </w:r>
            <w:proofErr w:type="spellEnd"/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dopuna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A97881" w:rsidRPr="00AA44B0">
              <w:rPr>
                <w:rFonts w:ascii="Garamond" w:hAnsi="Garamond"/>
              </w:rPr>
              <w:t>Plan</w:t>
            </w:r>
            <w:r>
              <w:rPr>
                <w:rFonts w:ascii="Garamond" w:hAnsi="Garamond"/>
              </w:rPr>
              <w:t>a</w:t>
            </w:r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upravljanja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pomorskim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dobrom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na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području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</w:rPr>
              <w:t>Općine</w:t>
            </w:r>
            <w:proofErr w:type="spellEnd"/>
            <w:r w:rsidR="00A97881" w:rsidRPr="00AA44B0">
              <w:rPr>
                <w:rFonts w:ascii="Garamond" w:hAnsi="Garamond"/>
              </w:rPr>
              <w:t xml:space="preserve"> Punat za 2021. </w:t>
            </w:r>
            <w:proofErr w:type="spellStart"/>
            <w:r w:rsidR="00A97881" w:rsidRPr="00AA44B0">
              <w:rPr>
                <w:rFonts w:ascii="Garamond" w:hAnsi="Garamond"/>
              </w:rPr>
              <w:t>godinu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031BB6" w:rsidP="00031BB6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I. </w:t>
            </w:r>
            <w:proofErr w:type="spellStart"/>
            <w:r>
              <w:rPr>
                <w:rFonts w:ascii="Garamond" w:hAnsi="Garamond"/>
                <w:szCs w:val="22"/>
              </w:rPr>
              <w:t>Izmjenom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r w:rsidR="001C2E0E">
              <w:rPr>
                <w:rFonts w:ascii="Garamond" w:hAnsi="Garamond"/>
                <w:szCs w:val="22"/>
              </w:rPr>
              <w:t xml:space="preserve">i </w:t>
            </w:r>
            <w:proofErr w:type="spellStart"/>
            <w:r w:rsidR="001C2E0E">
              <w:rPr>
                <w:rFonts w:ascii="Garamond" w:hAnsi="Garamond"/>
                <w:szCs w:val="22"/>
              </w:rPr>
              <w:t>dopun</w:t>
            </w:r>
            <w:r>
              <w:rPr>
                <w:rFonts w:ascii="Garamond" w:hAnsi="Garamond"/>
                <w:szCs w:val="22"/>
              </w:rPr>
              <w:t>om</w:t>
            </w:r>
            <w:proofErr w:type="spellEnd"/>
            <w:r w:rsidR="001C2E0E">
              <w:rPr>
                <w:rFonts w:ascii="Garamond" w:hAnsi="Garamond"/>
                <w:szCs w:val="22"/>
              </w:rPr>
              <w:t xml:space="preserve"> </w:t>
            </w:r>
            <w:r w:rsidR="00A97881" w:rsidRPr="00AA44B0">
              <w:rPr>
                <w:rFonts w:ascii="Garamond" w:hAnsi="Garamond"/>
                <w:szCs w:val="22"/>
              </w:rPr>
              <w:t>Plan</w:t>
            </w:r>
            <w:r w:rsidR="001C2E0E">
              <w:rPr>
                <w:rFonts w:ascii="Garamond" w:hAnsi="Garamond"/>
                <w:szCs w:val="22"/>
              </w:rPr>
              <w:t>a</w:t>
            </w:r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97881"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="00A97881" w:rsidRPr="00AA44B0">
              <w:rPr>
                <w:rFonts w:ascii="Garamond" w:hAnsi="Garamond"/>
                <w:szCs w:val="22"/>
              </w:rPr>
              <w:t xml:space="preserve"> Punat za 2021. </w:t>
            </w:r>
            <w:proofErr w:type="spellStart"/>
            <w:proofErr w:type="gramStart"/>
            <w:r w:rsidR="00A97881" w:rsidRPr="00AA44B0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="00A97881"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C2E0E">
              <w:rPr>
                <w:rFonts w:ascii="Garamond" w:hAnsi="Garamond"/>
                <w:szCs w:val="22"/>
              </w:rPr>
              <w:t>mijenjaju</w:t>
            </w:r>
            <w:proofErr w:type="spellEnd"/>
            <w:r w:rsidR="001C2E0E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40499B">
              <w:rPr>
                <w:rFonts w:ascii="Garamond" w:hAnsi="Garamond"/>
                <w:szCs w:val="22"/>
              </w:rPr>
              <w:t>iznosi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sredstava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="0040499B">
              <w:rPr>
                <w:rFonts w:ascii="Garamond" w:hAnsi="Garamond"/>
                <w:szCs w:val="22"/>
              </w:rPr>
              <w:t>redovno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upravljanje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pomorskim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dobrom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te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aktivnosti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na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koje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će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="0040499B">
              <w:rPr>
                <w:rFonts w:ascii="Garamond" w:hAnsi="Garamond"/>
                <w:szCs w:val="22"/>
              </w:rPr>
              <w:t>sredstva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utrošiti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40499B">
              <w:rPr>
                <w:rFonts w:ascii="Garamond" w:hAnsi="Garamond"/>
                <w:szCs w:val="22"/>
              </w:rPr>
              <w:t>Osi</w:t>
            </w:r>
            <w:r>
              <w:rPr>
                <w:rFonts w:ascii="Garamond" w:hAnsi="Garamond"/>
                <w:szCs w:val="22"/>
              </w:rPr>
              <w:t>m</w:t>
            </w:r>
            <w:proofErr w:type="spellEnd"/>
            <w:r>
              <w:rPr>
                <w:rFonts w:ascii="Garamond" w:hAnsi="Garamond"/>
                <w:szCs w:val="22"/>
              </w:rPr>
              <w:t xml:space="preserve"> toga, </w:t>
            </w:r>
            <w:proofErr w:type="spellStart"/>
            <w:r>
              <w:rPr>
                <w:rFonts w:ascii="Garamond" w:hAnsi="Garamond"/>
                <w:szCs w:val="22"/>
              </w:rPr>
              <w:t>dodana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su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određena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sredstva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na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ML 4.1. </w:t>
            </w:r>
            <w:proofErr w:type="gramStart"/>
            <w:r w:rsidR="0040499B">
              <w:rPr>
                <w:rFonts w:ascii="Garamond" w:hAnsi="Garamond"/>
                <w:szCs w:val="22"/>
              </w:rPr>
              <w:t>i</w:t>
            </w:r>
            <w:proofErr w:type="gramEnd"/>
            <w:r w:rsidR="0040499B">
              <w:rPr>
                <w:rFonts w:ascii="Garamond" w:hAnsi="Garamond"/>
                <w:szCs w:val="22"/>
              </w:rPr>
              <w:t xml:space="preserve"> 4.8., </w:t>
            </w:r>
            <w:proofErr w:type="spellStart"/>
            <w:r w:rsidR="0040499B">
              <w:rPr>
                <w:rFonts w:ascii="Garamond" w:hAnsi="Garamond"/>
                <w:szCs w:val="22"/>
              </w:rPr>
              <w:t>sukladno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zaprimljenim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0499B">
              <w:rPr>
                <w:rFonts w:ascii="Garamond" w:hAnsi="Garamond"/>
                <w:szCs w:val="22"/>
              </w:rPr>
              <w:t>zahtjevima</w:t>
            </w:r>
            <w:proofErr w:type="spellEnd"/>
            <w:r w:rsidR="0040499B">
              <w:rPr>
                <w:rFonts w:ascii="Garamond" w:hAnsi="Garamond"/>
                <w:szCs w:val="22"/>
              </w:rPr>
              <w:t xml:space="preserve">. 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C21566" w:rsidP="00031BB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  <w:r w:rsidR="00A97881" w:rsidRPr="00031BB6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31BB6" w:rsidRPr="00031BB6">
              <w:rPr>
                <w:rFonts w:ascii="Garamond" w:hAnsi="Garamond"/>
              </w:rPr>
              <w:t>travnja</w:t>
            </w:r>
            <w:proofErr w:type="spellEnd"/>
            <w:proofErr w:type="gramEnd"/>
            <w:r w:rsidR="00A97881" w:rsidRPr="00031BB6">
              <w:rPr>
                <w:rFonts w:ascii="Garamond" w:hAnsi="Garamond"/>
              </w:rPr>
              <w:t xml:space="preserve"> 202</w:t>
            </w:r>
            <w:r w:rsidR="0040499B" w:rsidRPr="00031BB6">
              <w:rPr>
                <w:rFonts w:ascii="Garamond" w:hAnsi="Garamond"/>
              </w:rPr>
              <w:t>1</w:t>
            </w:r>
            <w:r w:rsidR="00A97881" w:rsidRPr="00031BB6">
              <w:rPr>
                <w:rFonts w:ascii="Garamond" w:hAnsi="Garamond"/>
              </w:rPr>
              <w:t xml:space="preserve">. </w:t>
            </w:r>
            <w:proofErr w:type="spellStart"/>
            <w:r w:rsidR="00A97881" w:rsidRPr="00031BB6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031BB6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r w:rsidR="0040499B">
              <w:rPr>
                <w:rFonts w:ascii="Garamond" w:hAnsi="Garamond"/>
              </w:rPr>
              <w:t xml:space="preserve">I. </w:t>
            </w:r>
            <w:proofErr w:type="spellStart"/>
            <w:r w:rsidR="0040499B">
              <w:rPr>
                <w:rFonts w:ascii="Garamond" w:hAnsi="Garamond"/>
              </w:rPr>
              <w:t>Izmjen</w:t>
            </w:r>
            <w:r w:rsidR="00031BB6">
              <w:rPr>
                <w:rFonts w:ascii="Garamond" w:hAnsi="Garamond"/>
              </w:rPr>
              <w:t>e</w:t>
            </w:r>
            <w:proofErr w:type="spellEnd"/>
            <w:r w:rsidR="0040499B">
              <w:rPr>
                <w:rFonts w:ascii="Garamond" w:hAnsi="Garamond"/>
              </w:rPr>
              <w:t xml:space="preserve"> i </w:t>
            </w:r>
            <w:proofErr w:type="spellStart"/>
            <w:r w:rsidR="0040499B">
              <w:rPr>
                <w:rFonts w:ascii="Garamond" w:hAnsi="Garamond"/>
              </w:rPr>
              <w:t>dopun</w:t>
            </w:r>
            <w:r w:rsidR="00031BB6">
              <w:rPr>
                <w:rFonts w:ascii="Garamond" w:hAnsi="Garamond"/>
              </w:rPr>
              <w:t>e</w:t>
            </w:r>
            <w:proofErr w:type="spellEnd"/>
            <w:r w:rsidR="0040499B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Plana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</w:t>
            </w:r>
            <w:r w:rsidR="0040499B">
              <w:rPr>
                <w:rFonts w:ascii="Garamond" w:hAnsi="Garamond"/>
              </w:rPr>
              <w:t>1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godinu</w:t>
            </w:r>
            <w:proofErr w:type="spellEnd"/>
            <w:proofErr w:type="gram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C21566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od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r w:rsidR="00C21566">
              <w:rPr>
                <w:rFonts w:ascii="Garamond" w:hAnsi="Garamond"/>
              </w:rPr>
              <w:t>19</w:t>
            </w:r>
            <w:r w:rsidR="00922BAC" w:rsidRPr="00031BB6">
              <w:rPr>
                <w:rFonts w:ascii="Garamond" w:hAnsi="Garamond"/>
              </w:rPr>
              <w:t xml:space="preserve">. </w:t>
            </w:r>
            <w:proofErr w:type="spellStart"/>
            <w:r w:rsidR="00BE0846">
              <w:rPr>
                <w:rFonts w:ascii="Garamond" w:hAnsi="Garamond"/>
              </w:rPr>
              <w:t>travnja</w:t>
            </w:r>
            <w:proofErr w:type="spellEnd"/>
            <w:r w:rsidR="00BE0846">
              <w:rPr>
                <w:rFonts w:ascii="Garamond" w:hAnsi="Garamond"/>
              </w:rPr>
              <w:t xml:space="preserve"> </w:t>
            </w:r>
            <w:r w:rsidRPr="00031BB6">
              <w:rPr>
                <w:rFonts w:ascii="Garamond" w:hAnsi="Garamond"/>
              </w:rPr>
              <w:t xml:space="preserve">do </w:t>
            </w:r>
            <w:r w:rsidR="00C21566">
              <w:rPr>
                <w:rFonts w:ascii="Garamond" w:hAnsi="Garamond"/>
              </w:rPr>
              <w:t>10</w:t>
            </w:r>
            <w:r w:rsidRPr="00031BB6">
              <w:rPr>
                <w:rFonts w:ascii="Garamond" w:hAnsi="Garamond"/>
              </w:rPr>
              <w:t xml:space="preserve">. </w:t>
            </w:r>
            <w:r w:rsidR="00C21566">
              <w:rPr>
                <w:rFonts w:ascii="Garamond" w:hAnsi="Garamond"/>
              </w:rPr>
              <w:t>svibnja</w:t>
            </w:r>
            <w:r w:rsidRPr="00031BB6">
              <w:rPr>
                <w:rFonts w:ascii="Garamond" w:hAnsi="Garamond"/>
              </w:rPr>
              <w:t xml:space="preserve"> 202</w:t>
            </w:r>
            <w:r w:rsidR="0040499B" w:rsidRPr="00031BB6">
              <w:rPr>
                <w:rFonts w:ascii="Garamond" w:hAnsi="Garamond"/>
              </w:rPr>
              <w:t>1</w:t>
            </w:r>
            <w:r w:rsidRPr="00031BB6">
              <w:rPr>
                <w:rFonts w:ascii="Garamond" w:hAnsi="Garamond"/>
              </w:rPr>
              <w:t>.</w:t>
            </w:r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31BB6"/>
    <w:rsid w:val="00054951"/>
    <w:rsid w:val="000B36E9"/>
    <w:rsid w:val="001B1C19"/>
    <w:rsid w:val="001C2E0E"/>
    <w:rsid w:val="002D6B98"/>
    <w:rsid w:val="0033077F"/>
    <w:rsid w:val="0040499B"/>
    <w:rsid w:val="0041113D"/>
    <w:rsid w:val="00456397"/>
    <w:rsid w:val="005A5516"/>
    <w:rsid w:val="00605C52"/>
    <w:rsid w:val="00652219"/>
    <w:rsid w:val="00671D7F"/>
    <w:rsid w:val="00831052"/>
    <w:rsid w:val="00841041"/>
    <w:rsid w:val="00882EBA"/>
    <w:rsid w:val="00922BAC"/>
    <w:rsid w:val="00963AAF"/>
    <w:rsid w:val="00A61BC3"/>
    <w:rsid w:val="00A97881"/>
    <w:rsid w:val="00AA44B0"/>
    <w:rsid w:val="00B23830"/>
    <w:rsid w:val="00BE0846"/>
    <w:rsid w:val="00C21566"/>
    <w:rsid w:val="00EA7ECD"/>
    <w:rsid w:val="00F8062B"/>
    <w:rsid w:val="00FC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20</cp:revision>
  <cp:lastPrinted>2020-11-24T06:37:00Z</cp:lastPrinted>
  <dcterms:created xsi:type="dcterms:W3CDTF">2020-11-23T12:28:00Z</dcterms:created>
  <dcterms:modified xsi:type="dcterms:W3CDTF">2021-04-19T10:56:00Z</dcterms:modified>
</cp:coreProperties>
</file>