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16E4" w14:textId="77777777"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087"/>
      </w:tblGrid>
      <w:tr w:rsidR="00B03245" w:rsidRPr="002B253A" w14:paraId="1CD3E1E8" w14:textId="77777777" w:rsidTr="005E7473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71E60C" w14:textId="77777777"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6E931D31" w14:textId="77777777"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14:paraId="41DCD90C" w14:textId="77777777" w:rsidTr="005E7473">
        <w:trPr>
          <w:trHeight w:hRule="exact"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078E3390" w14:textId="77777777" w:rsidR="00B03245" w:rsidRPr="006428F5" w:rsidRDefault="00B03245" w:rsidP="00624009">
            <w:pPr>
              <w:spacing w:after="0" w:line="200" w:lineRule="exact"/>
              <w:rPr>
                <w:rFonts w:ascii="Garamond" w:hAnsi="Garamond"/>
              </w:rPr>
            </w:pPr>
          </w:p>
          <w:p w14:paraId="755CCA37" w14:textId="77777777" w:rsidR="00B03245" w:rsidRPr="006428F5" w:rsidRDefault="00F02E66" w:rsidP="00F02E66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/>
              </w:rPr>
              <w:t xml:space="preserve">  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Nasl</w:t>
            </w:r>
            <w:r w:rsidR="00B03245"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03C694F3" w14:textId="77777777"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744CD038" w14:textId="77777777" w:rsidR="00B03245" w:rsidRPr="00D40F46" w:rsidRDefault="00D40F46" w:rsidP="004C2A31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D40F46">
              <w:rPr>
                <w:rFonts w:ascii="Garamond" w:eastAsia="Myriad Pro" w:hAnsi="Garamond" w:cs="Myriad Pro"/>
                <w:color w:val="231F20"/>
              </w:rPr>
              <w:t xml:space="preserve">Odluka </w:t>
            </w:r>
            <w:r w:rsidRPr="00D40F46">
              <w:rPr>
                <w:rFonts w:ascii="Garamond" w:hAnsi="Garamond"/>
              </w:rPr>
              <w:t xml:space="preserve">o </w:t>
            </w:r>
            <w:r w:rsidR="004C2A31">
              <w:rPr>
                <w:rFonts w:ascii="Garamond" w:hAnsi="Garamond"/>
              </w:rPr>
              <w:t>stavljanju izvan snage Odluke o uvođenju i naplati ekološke pristojbe</w:t>
            </w:r>
            <w:r w:rsidRPr="00D40F46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FE2B30" w:rsidRPr="00D40F46">
              <w:rPr>
                <w:rFonts w:ascii="Garamond" w:eastAsia="Myriad Pro" w:hAnsi="Garamond" w:cs="Myriad Pro"/>
                <w:color w:val="231F20"/>
              </w:rPr>
              <w:t xml:space="preserve"> </w:t>
            </w:r>
          </w:p>
        </w:tc>
      </w:tr>
      <w:tr w:rsidR="00B03245" w:rsidRPr="002B253A" w14:paraId="43078893" w14:textId="77777777" w:rsidTr="005E7473">
        <w:trPr>
          <w:trHeight w:hRule="exact" w:val="862"/>
        </w:trPr>
        <w:tc>
          <w:tcPr>
            <w:tcW w:w="254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507F7FFE" w14:textId="77777777" w:rsidR="00B03245" w:rsidRPr="006428F5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vara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087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465E1CEC" w14:textId="77777777" w:rsidR="00B03245" w:rsidRPr="006428F5" w:rsidRDefault="00B03245" w:rsidP="00624009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238867EC" w14:textId="77777777"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B03245" w:rsidRPr="006428F5" w14:paraId="4AFC7C26" w14:textId="77777777" w:rsidTr="00D70125">
        <w:trPr>
          <w:trHeight w:hRule="exact" w:val="6100"/>
        </w:trPr>
        <w:tc>
          <w:tcPr>
            <w:tcW w:w="254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130F3FF4" w14:textId="77777777"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087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3158AB6D" w14:textId="4B3F789F" w:rsidR="006A39D4" w:rsidRPr="006A39D4" w:rsidRDefault="006A39D4" w:rsidP="006A39D4">
            <w:pPr>
              <w:suppressAutoHyphens/>
              <w:spacing w:after="0" w:line="240" w:lineRule="auto"/>
              <w:ind w:right="-1"/>
              <w:jc w:val="both"/>
              <w:rPr>
                <w:rFonts w:ascii="Garamond" w:hAnsi="Garamond"/>
              </w:rPr>
            </w:pPr>
            <w:r w:rsidRPr="006A39D4">
              <w:rPr>
                <w:rFonts w:ascii="Garamond" w:hAnsi="Garamond"/>
              </w:rPr>
              <w:t xml:space="preserve">Odluka o uvođenju i naplati ekološke pristojbe </w:t>
            </w:r>
            <w:r>
              <w:rPr>
                <w:rFonts w:ascii="Garamond" w:hAnsi="Garamond"/>
              </w:rPr>
              <w:t xml:space="preserve">(„Službene novine Primorso-goranske županije“ broj 17/06) – dalje u tekstu: Odluka </w:t>
            </w:r>
            <w:r w:rsidRPr="006A39D4">
              <w:rPr>
                <w:rFonts w:ascii="Garamond" w:eastAsia="Times New Roman" w:hAnsi="Garamond" w:cs="Mangal"/>
                <w:kern w:val="2"/>
                <w:lang w:eastAsia="hi-IN" w:bidi="hi-IN"/>
              </w:rPr>
              <w:t xml:space="preserve">donesena je na 12. sjednici </w:t>
            </w:r>
            <w:r>
              <w:rPr>
                <w:rFonts w:ascii="Garamond" w:eastAsia="Times New Roman" w:hAnsi="Garamond" w:cs="Mangal"/>
                <w:kern w:val="2"/>
                <w:lang w:eastAsia="hi-IN" w:bidi="hi-IN"/>
              </w:rPr>
              <w:t xml:space="preserve">Općinskog vijeća </w:t>
            </w:r>
            <w:r w:rsidRPr="006A39D4">
              <w:rPr>
                <w:rFonts w:ascii="Garamond" w:eastAsia="Times New Roman" w:hAnsi="Garamond" w:cs="Mangal"/>
                <w:kern w:val="2"/>
                <w:lang w:eastAsia="hi-IN" w:bidi="hi-IN"/>
              </w:rPr>
              <w:t>održanoj dana 10. travnja 2006. godine.</w:t>
            </w:r>
          </w:p>
          <w:p w14:paraId="31B54AFE" w14:textId="7836ED9D" w:rsidR="006A39D4" w:rsidRDefault="006A39D4" w:rsidP="006A39D4">
            <w:pPr>
              <w:widowControl/>
              <w:spacing w:after="0" w:line="240" w:lineRule="auto"/>
              <w:ind w:firstLine="567"/>
              <w:jc w:val="both"/>
              <w:outlineLvl w:val="1"/>
              <w:rPr>
                <w:rFonts w:ascii="Garamond" w:hAnsi="Garamond"/>
              </w:rPr>
            </w:pPr>
            <w:r w:rsidRPr="006A39D4">
              <w:rPr>
                <w:rFonts w:ascii="Garamond" w:hAnsi="Garamond"/>
              </w:rPr>
              <w:t>Odredbe Zakona o zaštiti okoliša kako u vrijeme donošenja</w:t>
            </w:r>
            <w:r>
              <w:rPr>
                <w:rFonts w:ascii="Garamond" w:hAnsi="Garamond"/>
              </w:rPr>
              <w:t xml:space="preserve"> </w:t>
            </w:r>
            <w:r w:rsidRPr="006A39D4">
              <w:rPr>
                <w:rFonts w:ascii="Garamond" w:hAnsi="Garamond"/>
              </w:rPr>
              <w:t>Odluke („Narodne novine“, broj 82/94, 198/99) tako niti trenutno važećeg</w:t>
            </w:r>
            <w:r>
              <w:rPr>
                <w:rFonts w:ascii="Garamond" w:hAnsi="Garamond"/>
              </w:rPr>
              <w:t xml:space="preserve"> Zakona</w:t>
            </w:r>
            <w:r w:rsidRPr="006A39D4">
              <w:rPr>
                <w:rFonts w:ascii="Garamond" w:hAnsi="Garamond"/>
              </w:rPr>
              <w:t xml:space="preserve"> („Narodne novine“, broj 80/13, 153/13, 78/15, 12/18, 118/18) nisu mjerodavne za donošenje </w:t>
            </w:r>
            <w:r>
              <w:rPr>
                <w:rFonts w:ascii="Garamond" w:hAnsi="Garamond"/>
              </w:rPr>
              <w:t>Odluke</w:t>
            </w:r>
            <w:r w:rsidRPr="006A39D4">
              <w:rPr>
                <w:rFonts w:ascii="Garamond" w:hAnsi="Garamond"/>
              </w:rPr>
              <w:t xml:space="preserve"> te ne mogu biti temelj za određivanje financijskih instrumenata za zaštitu okoliša jer ne propisuj</w:t>
            </w:r>
            <w:r>
              <w:rPr>
                <w:rFonts w:ascii="Garamond" w:hAnsi="Garamond"/>
              </w:rPr>
              <w:t>e</w:t>
            </w:r>
            <w:r w:rsidRPr="006A39D4">
              <w:rPr>
                <w:rFonts w:ascii="Garamond" w:hAnsi="Garamond"/>
              </w:rPr>
              <w:t xml:space="preserve"> uvođenje ekološke pristojbe niti daju ovlaštenje jedinici lokalne samouprave za njezino uvođenje, čime je predmetna pristojba nezakonito uvedena.</w:t>
            </w:r>
            <w:r w:rsidR="005E7473">
              <w:rPr>
                <w:rFonts w:ascii="Garamond" w:hAnsi="Garamond"/>
              </w:rPr>
              <w:t xml:space="preserve"> Navedeno potvrđuje i sudska praksa odnosno presuda Visokog upravnog suda</w:t>
            </w:r>
            <w:r w:rsidR="0085384C">
              <w:rPr>
                <w:rFonts w:ascii="Garamond" w:hAnsi="Garamond"/>
              </w:rPr>
              <w:t xml:space="preserve"> donesena dana 11. prosinca 2013. godine</w:t>
            </w:r>
            <w:r w:rsidR="005E7473">
              <w:rPr>
                <w:rFonts w:ascii="Garamond" w:hAnsi="Garamond"/>
              </w:rPr>
              <w:t xml:space="preserve"> (objavljena u „Narodnim novinama“ broj 7/14</w:t>
            </w:r>
            <w:r w:rsidR="0085384C">
              <w:rPr>
                <w:rFonts w:ascii="Garamond" w:hAnsi="Garamond"/>
              </w:rPr>
              <w:t xml:space="preserve"> </w:t>
            </w:r>
            <w:r w:rsidR="005E7473">
              <w:rPr>
                <w:rFonts w:ascii="Garamond" w:hAnsi="Garamond"/>
              </w:rPr>
              <w:t xml:space="preserve">) u postupku ocjene </w:t>
            </w:r>
            <w:r w:rsidR="005E7473" w:rsidRPr="005E7473">
              <w:rPr>
                <w:rFonts w:ascii="Garamond" w:hAnsi="Garamond"/>
              </w:rPr>
              <w:t>zakonitosti Odluke o uvođenju ekološke pristojbe koju je donijelo Gradsko vijeće Grada Mali Lošinj (Službene novine Primorsko-goranske županije, broj 21/2006.).</w:t>
            </w:r>
          </w:p>
          <w:p w14:paraId="00CF4E47" w14:textId="40E7211D" w:rsidR="00D70125" w:rsidRPr="006A39D4" w:rsidRDefault="00D70125" w:rsidP="006A39D4">
            <w:pPr>
              <w:widowControl/>
              <w:spacing w:after="0" w:line="240" w:lineRule="auto"/>
              <w:ind w:firstLine="567"/>
              <w:jc w:val="both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Također u svrhu očuvanja radnih mjesta koja su najteže pogođena korona krizom, a radi daljnjeg rasterećenja i pomoći, ukidanje ekološke pristojbe jedan je od načina ublažavanja krize uzrokovane korona virusom.</w:t>
            </w:r>
          </w:p>
          <w:p w14:paraId="130AB650" w14:textId="7DEE391D" w:rsidR="006A39D4" w:rsidRDefault="006A39D4" w:rsidP="006A39D4">
            <w:pPr>
              <w:widowControl/>
              <w:spacing w:after="0" w:line="240" w:lineRule="auto"/>
              <w:jc w:val="both"/>
              <w:outlineLvl w:val="1"/>
              <w:rPr>
                <w:rFonts w:ascii="Garamond" w:hAnsi="Garamond"/>
              </w:rPr>
            </w:pPr>
            <w:r w:rsidRPr="006A39D4">
              <w:rPr>
                <w:rFonts w:ascii="Garamond" w:hAnsi="Garamond"/>
              </w:rPr>
              <w:t xml:space="preserve">           S obzirom da je Odluka protivna zakonu – odredbi članka 68. Zakona o lokalnoj i područnoj (regionalnoj) samoupravi (</w:t>
            </w:r>
            <w:r w:rsidR="005E7473">
              <w:rPr>
                <w:rFonts w:ascii="Garamond" w:hAnsi="Garamond"/>
              </w:rPr>
              <w:t>„</w:t>
            </w:r>
            <w:r w:rsidRPr="006A39D4">
              <w:rPr>
                <w:rFonts w:ascii="Garamond" w:hAnsi="Garamond"/>
              </w:rPr>
              <w:t>Narodne novine</w:t>
            </w:r>
            <w:r w:rsidR="005E7473">
              <w:rPr>
                <w:rFonts w:ascii="Garamond" w:hAnsi="Garamond"/>
              </w:rPr>
              <w:t>“</w:t>
            </w:r>
            <w:r w:rsidRPr="006A39D4">
              <w:rPr>
                <w:rFonts w:ascii="Garamond" w:hAnsi="Garamond"/>
              </w:rPr>
              <w:t>, broj 33/01, 60/01 i 129/05) odredbama članka 2. i 3. Zakona o financiranju jedinica lokalne i područne (regionalne) samouprave (</w:t>
            </w:r>
            <w:r w:rsidR="005E7473">
              <w:rPr>
                <w:rFonts w:ascii="Garamond" w:hAnsi="Garamond"/>
              </w:rPr>
              <w:t>„</w:t>
            </w:r>
            <w:r w:rsidRPr="006A39D4">
              <w:rPr>
                <w:rFonts w:ascii="Garamond" w:hAnsi="Garamond"/>
              </w:rPr>
              <w:t>Narodne novine</w:t>
            </w:r>
            <w:r w:rsidR="005E7473">
              <w:rPr>
                <w:rFonts w:ascii="Garamond" w:hAnsi="Garamond"/>
              </w:rPr>
              <w:t>“</w:t>
            </w:r>
            <w:r w:rsidRPr="006A39D4">
              <w:rPr>
                <w:rFonts w:ascii="Garamond" w:hAnsi="Garamond"/>
              </w:rPr>
              <w:t>, broj  117/93, 69/97, 33/00, 73/00, 127/00, 59/01, 107/01, 117/01 i 150/02) te odredbi članka 6. stavka 1., članka 7. i članka 19. stavka 3. Zakona o zaštiti okoliša (</w:t>
            </w:r>
            <w:r w:rsidR="005E7473">
              <w:rPr>
                <w:rFonts w:ascii="Garamond" w:hAnsi="Garamond"/>
              </w:rPr>
              <w:t>„</w:t>
            </w:r>
            <w:r w:rsidRPr="006A39D4">
              <w:rPr>
                <w:rFonts w:ascii="Garamond" w:hAnsi="Garamond"/>
              </w:rPr>
              <w:t>Narodne novine</w:t>
            </w:r>
            <w:r w:rsidR="005E7473">
              <w:rPr>
                <w:rFonts w:ascii="Garamond" w:hAnsi="Garamond"/>
              </w:rPr>
              <w:t>“</w:t>
            </w:r>
            <w:r w:rsidRPr="006A39D4">
              <w:rPr>
                <w:rFonts w:ascii="Garamond" w:hAnsi="Garamond"/>
              </w:rPr>
              <w:t>, broj 82/94, 198/99)</w:t>
            </w:r>
            <w:r w:rsidR="00D70125">
              <w:rPr>
                <w:rFonts w:ascii="Garamond" w:hAnsi="Garamond"/>
              </w:rPr>
              <w:t xml:space="preserve"> </w:t>
            </w:r>
            <w:r w:rsidRPr="006A39D4">
              <w:rPr>
                <w:rFonts w:ascii="Garamond" w:hAnsi="Garamond"/>
              </w:rPr>
              <w:t>predlaže se Odluku staviti izvan snage.</w:t>
            </w:r>
          </w:p>
          <w:p w14:paraId="3820E6DA" w14:textId="62FEC350" w:rsidR="00D70125" w:rsidRPr="006A39D4" w:rsidRDefault="00D70125" w:rsidP="006A39D4">
            <w:pPr>
              <w:widowControl/>
              <w:spacing w:after="0" w:line="240" w:lineRule="auto"/>
              <w:jc w:val="both"/>
              <w:outlineLvl w:val="1"/>
              <w:rPr>
                <w:rFonts w:ascii="Garamond" w:hAnsi="Garamond"/>
              </w:rPr>
            </w:pPr>
          </w:p>
          <w:p w14:paraId="48A65D5E" w14:textId="77777777" w:rsidR="006A39D4" w:rsidRDefault="006A39D4" w:rsidP="00DE0A23">
            <w:pPr>
              <w:widowControl/>
              <w:spacing w:after="0" w:line="240" w:lineRule="auto"/>
              <w:outlineLvl w:val="1"/>
              <w:rPr>
                <w:rFonts w:ascii="Garamond" w:hAnsi="Garamond"/>
              </w:rPr>
            </w:pPr>
          </w:p>
          <w:p w14:paraId="40B712D6" w14:textId="77777777" w:rsidR="00313E2F" w:rsidRDefault="00313E2F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  <w:p w14:paraId="0A5532B4" w14:textId="77777777" w:rsidR="006A39D4" w:rsidRDefault="006A39D4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  <w:p w14:paraId="2C301CDB" w14:textId="77777777" w:rsidR="006A39D4" w:rsidRDefault="006A39D4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  <w:p w14:paraId="5CFA3C0E" w14:textId="77777777" w:rsidR="006A39D4" w:rsidRDefault="006A39D4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  <w:p w14:paraId="30E7E301" w14:textId="4CCFDA65" w:rsidR="006A39D4" w:rsidRPr="00D40F46" w:rsidRDefault="006A39D4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</w:tc>
      </w:tr>
      <w:tr w:rsidR="00B03245" w:rsidRPr="002B253A" w14:paraId="13C4DD00" w14:textId="77777777" w:rsidTr="005E7473">
        <w:trPr>
          <w:trHeight w:hRule="exact" w:val="360"/>
        </w:trPr>
        <w:tc>
          <w:tcPr>
            <w:tcW w:w="254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53338F07" w14:textId="77777777"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087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7C02D57B" w14:textId="2743436F" w:rsidR="00B03245" w:rsidRPr="006428F5" w:rsidRDefault="00F02E66" w:rsidP="007E231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2F3E4D">
              <w:rPr>
                <w:rFonts w:ascii="Garamond" w:eastAsia="Myriad Pro" w:hAnsi="Garamond" w:cs="Myriad Pro"/>
                <w:color w:val="231F20"/>
              </w:rPr>
              <w:t>3</w:t>
            </w:r>
            <w:r w:rsidR="001861AB">
              <w:rPr>
                <w:rFonts w:ascii="Garamond" w:eastAsia="Myriad Pro" w:hAnsi="Garamond" w:cs="Myriad Pro"/>
                <w:color w:val="231F20"/>
              </w:rPr>
              <w:t>1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7E2310">
              <w:rPr>
                <w:rFonts w:ascii="Garamond" w:eastAsia="Myriad Pro" w:hAnsi="Garamond" w:cs="Myriad Pro"/>
                <w:color w:val="231F20"/>
              </w:rPr>
              <w:t>prosinca</w:t>
            </w:r>
            <w:r w:rsidR="006428F5">
              <w:rPr>
                <w:rFonts w:ascii="Garamond" w:eastAsia="Myriad Pro" w:hAnsi="Garamond" w:cs="Myriad Pro"/>
                <w:color w:val="231F20"/>
              </w:rPr>
              <w:t xml:space="preserve"> 2021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B03245" w:rsidRPr="002B253A" w14:paraId="145B7FB7" w14:textId="77777777" w:rsidTr="005E7473">
        <w:trPr>
          <w:trHeight w:hRule="exact"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025F12A9" w14:textId="77777777" w:rsidR="00B03245" w:rsidRPr="006428F5" w:rsidRDefault="00B03245" w:rsidP="004B79E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anje: Savjetovanje se provodi o</w:t>
            </w:r>
            <w:r w:rsidR="004B79E9">
              <w:rPr>
                <w:rFonts w:ascii="Garamond" w:hAnsi="Garamond"/>
              </w:rPr>
              <w:t xml:space="preserve"> stavljanju izvan snage naplate ekološke pristojbe</w:t>
            </w:r>
            <w:r w:rsidR="00402E96" w:rsidRPr="00D40F46">
              <w:rPr>
                <w:rFonts w:ascii="Garamond" w:eastAsia="Myriad Pro" w:hAnsi="Garamond" w:cs="Myriad Pro"/>
                <w:color w:val="231F20"/>
              </w:rPr>
              <w:t xml:space="preserve">  </w:t>
            </w:r>
          </w:p>
        </w:tc>
      </w:tr>
      <w:tr w:rsidR="00B03245" w:rsidRPr="002B253A" w14:paraId="38124D01" w14:textId="77777777" w:rsidTr="005E7473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153F4A4E" w14:textId="77777777" w:rsidR="00B03245" w:rsidRPr="006428F5" w:rsidRDefault="00B03245" w:rsidP="00451DD1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14:paraId="5A4FA2B0" w14:textId="77777777" w:rsidTr="005E7473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312101D2" w14:textId="77777777" w:rsidR="00B03245" w:rsidRPr="006428F5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me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14:paraId="5FA6C0EF" w14:textId="77777777" w:rsidTr="005E7473">
        <w:trPr>
          <w:trHeight w:hRule="exact" w:val="84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3C212C21" w14:textId="6B3B2C1A" w:rsidR="00B03245" w:rsidRPr="006428F5" w:rsidRDefault="00B03245" w:rsidP="007E231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ena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2F3E4D">
              <w:rPr>
                <w:rFonts w:ascii="Garamond" w:eastAsia="Myriad Pro" w:hAnsi="Garamond" w:cs="Myriad Pro"/>
                <w:color w:val="231F20"/>
              </w:rPr>
              <w:t>3</w:t>
            </w:r>
            <w:r w:rsidR="00D70125">
              <w:rPr>
                <w:rFonts w:ascii="Garamond" w:eastAsia="Myriad Pro" w:hAnsi="Garamond" w:cs="Myriad Pro"/>
                <w:color w:val="231F20"/>
              </w:rPr>
              <w:t>1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7E2310">
              <w:rPr>
                <w:rFonts w:ascii="Garamond" w:eastAsia="Myriad Pro" w:hAnsi="Garamond" w:cs="Myriad Pro"/>
                <w:color w:val="231F20"/>
              </w:rPr>
              <w:t>siječnja 2022</w:t>
            </w:r>
            <w:r w:rsidR="0066472D">
              <w:rPr>
                <w:rFonts w:ascii="Garamond" w:eastAsia="Myriad Pro" w:hAnsi="Garamond" w:cs="Myriad Pro"/>
                <w:color w:val="231F20"/>
              </w:rPr>
              <w:t>. godine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14:paraId="349658D4" w14:textId="77777777" w:rsidTr="005E7473">
        <w:trPr>
          <w:trHeight w:hRule="exact" w:val="1707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1B446D97" w14:textId="4DA33377" w:rsidR="0066472D" w:rsidRDefault="00B03245" w:rsidP="00451DD1">
            <w:pPr>
              <w:spacing w:before="37" w:after="0" w:line="260" w:lineRule="exact"/>
              <w:ind w:left="265" w:right="1094" w:hanging="157"/>
              <w:jc w:val="both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im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esa, b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ele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6428F5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esa </w:t>
            </w:r>
            <w:r w:rsidR="0066472D">
              <w:rPr>
                <w:rFonts w:ascii="Garamond" w:eastAsia="Myriad Pro" w:hAnsi="Garamond" w:cs="Myriad Pro"/>
                <w:color w:val="231F20"/>
              </w:rPr>
              <w:t>službenika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koj</w:t>
            </w:r>
            <w:r w:rsidR="0066472D">
              <w:rPr>
                <w:rFonts w:ascii="Garamond" w:eastAsia="Myriad Pro" w:hAnsi="Garamond" w:cs="Myriad Pro"/>
                <w:color w:val="231F20"/>
              </w:rPr>
              <w:t>ima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se sudionici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e: Za sve dodatne upite, sudionici savjetovanja mogu se obratiti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Nataši Kleković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dipl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.iur.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savjetnic</w:t>
            </w:r>
            <w:r w:rsidR="004F256E">
              <w:rPr>
                <w:rFonts w:ascii="Garamond" w:eastAsia="Myriad Pro" w:hAnsi="Garamond" w:cs="Myriad Pro"/>
                <w:color w:val="231F20"/>
              </w:rPr>
              <w:t>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imovinsko-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pravne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 xml:space="preserve">i opće 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poslove</w:t>
            </w:r>
            <w:r w:rsidR="00DA0893">
              <w:rPr>
                <w:rFonts w:ascii="Garamond" w:eastAsia="Myriad Pro" w:hAnsi="Garamond" w:cs="Myriad Pro"/>
                <w:color w:val="231F20"/>
              </w:rPr>
              <w:t>,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putem elektronske pošte na e-mail adresu: </w:t>
            </w:r>
            <w:hyperlink r:id="rId6" w:history="1">
              <w:r w:rsidR="0066472D" w:rsidRPr="004A2C1E">
                <w:rPr>
                  <w:rStyle w:val="Hyperlink"/>
                  <w:rFonts w:ascii="Garamond" w:eastAsia="Myriad Pro" w:hAnsi="Garamond" w:cs="Myriad Pro"/>
                </w:rPr>
                <w:t>natasa.klekovic@punat.hr</w:t>
              </w:r>
            </w:hyperlink>
            <w:r w:rsidR="0066472D">
              <w:rPr>
                <w:rFonts w:ascii="Garamond" w:eastAsia="Myriad Pro" w:hAnsi="Garamond" w:cs="Myriad Pro"/>
              </w:rPr>
              <w:t xml:space="preserve"> ili </w:t>
            </w:r>
            <w:r w:rsidR="0066472D" w:rsidRPr="006428F5">
              <w:rPr>
                <w:rFonts w:ascii="Garamond" w:eastAsia="Myriad Pro" w:hAnsi="Garamond" w:cs="Myriad Pro"/>
                <w:color w:val="231F20"/>
              </w:rPr>
              <w:t xml:space="preserve"> pismeno na adresu Općine Pu</w:t>
            </w:r>
            <w:r w:rsidR="0066472D">
              <w:rPr>
                <w:rFonts w:ascii="Garamond" w:eastAsia="Myriad Pro" w:hAnsi="Garamond" w:cs="Myriad Pro"/>
                <w:color w:val="231F20"/>
              </w:rPr>
              <w:t>nat, Novi put 2, 51521 Punat.</w:t>
            </w:r>
          </w:p>
          <w:p w14:paraId="2B2CE863" w14:textId="77777777" w:rsidR="0066472D" w:rsidRPr="006428F5" w:rsidRDefault="0066472D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</w:rPr>
            </w:pPr>
          </w:p>
          <w:p w14:paraId="74DBF015" w14:textId="77777777" w:rsidR="00B03245" w:rsidRPr="006428F5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</w:p>
        </w:tc>
      </w:tr>
      <w:tr w:rsidR="00B03245" w:rsidRPr="002B253A" w14:paraId="0B2A9D9D" w14:textId="77777777" w:rsidTr="005E7473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06DA98F5" w14:textId="77777777" w:rsidR="00B03245" w:rsidRPr="006428F5" w:rsidRDefault="00B03245" w:rsidP="00451DD1">
            <w:pPr>
              <w:spacing w:before="37" w:after="0" w:line="260" w:lineRule="exact"/>
              <w:ind w:left="265" w:right="1050" w:hanging="157"/>
              <w:jc w:val="both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lastRenderedPageBreak/>
              <w:t>– zahtjev onima koji sudjeluju 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14:paraId="35270B8E" w14:textId="77777777" w:rsidTr="005E7473">
        <w:trPr>
          <w:trHeight w:hRule="exact" w:val="837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7CED42C2" w14:textId="77777777" w:rsidR="00B03245" w:rsidRPr="006428F5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6428F5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B03245" w:rsidRPr="002B253A" w14:paraId="4B8BC321" w14:textId="77777777" w:rsidTr="005E7473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F322D3" w14:textId="77777777" w:rsidR="00B03245" w:rsidRPr="006428F5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4BC9B7F5" w14:textId="77777777"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14A30C38" w14:textId="77777777" w:rsidR="00E26DAB" w:rsidRPr="002B253A" w:rsidRDefault="00AD7A1F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BDF9" w14:textId="77777777" w:rsidR="00AD7A1F" w:rsidRDefault="00AD7A1F">
      <w:pPr>
        <w:spacing w:after="0" w:line="240" w:lineRule="auto"/>
      </w:pPr>
      <w:r>
        <w:separator/>
      </w:r>
    </w:p>
  </w:endnote>
  <w:endnote w:type="continuationSeparator" w:id="0">
    <w:p w14:paraId="5A7160D3" w14:textId="77777777" w:rsidR="00AD7A1F" w:rsidRDefault="00AD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5B86" w14:textId="77777777" w:rsidR="001D7128" w:rsidRDefault="00D132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811BA6" wp14:editId="760E965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16D1" w14:textId="77777777" w:rsidR="001D7128" w:rsidRDefault="00AD7A1F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11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8AA16D1" w14:textId="77777777" w:rsidR="001D7128" w:rsidRDefault="00AD7A1F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B630" w14:textId="77777777" w:rsidR="00AD7A1F" w:rsidRDefault="00AD7A1F">
      <w:pPr>
        <w:spacing w:after="0" w:line="240" w:lineRule="auto"/>
      </w:pPr>
      <w:r>
        <w:separator/>
      </w:r>
    </w:p>
  </w:footnote>
  <w:footnote w:type="continuationSeparator" w:id="0">
    <w:p w14:paraId="1D76089F" w14:textId="77777777" w:rsidR="00AD7A1F" w:rsidRDefault="00AD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45"/>
    <w:rsid w:val="00012095"/>
    <w:rsid w:val="00012471"/>
    <w:rsid w:val="000477F1"/>
    <w:rsid w:val="00056075"/>
    <w:rsid w:val="000F11F7"/>
    <w:rsid w:val="0010378C"/>
    <w:rsid w:val="0012669C"/>
    <w:rsid w:val="001861AB"/>
    <w:rsid w:val="001A36DA"/>
    <w:rsid w:val="001A442A"/>
    <w:rsid w:val="001E7760"/>
    <w:rsid w:val="00210558"/>
    <w:rsid w:val="00293D18"/>
    <w:rsid w:val="002B253A"/>
    <w:rsid w:val="002F3E4D"/>
    <w:rsid w:val="00313E2F"/>
    <w:rsid w:val="003B4431"/>
    <w:rsid w:val="00402E96"/>
    <w:rsid w:val="00422CA2"/>
    <w:rsid w:val="00451DD1"/>
    <w:rsid w:val="004B5E05"/>
    <w:rsid w:val="004B79E9"/>
    <w:rsid w:val="004C2A31"/>
    <w:rsid w:val="004F256E"/>
    <w:rsid w:val="00516181"/>
    <w:rsid w:val="00532465"/>
    <w:rsid w:val="00536103"/>
    <w:rsid w:val="005A3436"/>
    <w:rsid w:val="005C1A7D"/>
    <w:rsid w:val="005E7473"/>
    <w:rsid w:val="00634F17"/>
    <w:rsid w:val="006428F5"/>
    <w:rsid w:val="0066472D"/>
    <w:rsid w:val="006A39D4"/>
    <w:rsid w:val="006C47C2"/>
    <w:rsid w:val="007302ED"/>
    <w:rsid w:val="007E2310"/>
    <w:rsid w:val="007F76D0"/>
    <w:rsid w:val="00836F20"/>
    <w:rsid w:val="0085384C"/>
    <w:rsid w:val="008A2A7B"/>
    <w:rsid w:val="008C19C8"/>
    <w:rsid w:val="0090308A"/>
    <w:rsid w:val="00966921"/>
    <w:rsid w:val="00AD7A1F"/>
    <w:rsid w:val="00AE76C9"/>
    <w:rsid w:val="00B03245"/>
    <w:rsid w:val="00CD0244"/>
    <w:rsid w:val="00CF6756"/>
    <w:rsid w:val="00D13241"/>
    <w:rsid w:val="00D243C4"/>
    <w:rsid w:val="00D40F46"/>
    <w:rsid w:val="00D41324"/>
    <w:rsid w:val="00D67FA8"/>
    <w:rsid w:val="00D70125"/>
    <w:rsid w:val="00D84CA2"/>
    <w:rsid w:val="00DA0893"/>
    <w:rsid w:val="00DC15BB"/>
    <w:rsid w:val="00DD5754"/>
    <w:rsid w:val="00DE0A23"/>
    <w:rsid w:val="00E5660D"/>
    <w:rsid w:val="00F02E66"/>
    <w:rsid w:val="00F2625D"/>
    <w:rsid w:val="00FE23B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1F87"/>
  <w15:docId w15:val="{49DECF1A-B5F0-476E-9F4D-769580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Ivana Svetec</cp:lastModifiedBy>
  <cp:revision>6</cp:revision>
  <cp:lastPrinted>2021-12-31T08:25:00Z</cp:lastPrinted>
  <dcterms:created xsi:type="dcterms:W3CDTF">2021-12-31T08:01:00Z</dcterms:created>
  <dcterms:modified xsi:type="dcterms:W3CDTF">2021-12-31T08:29:00Z</dcterms:modified>
</cp:coreProperties>
</file>