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245" w:rsidRPr="002B253A" w:rsidRDefault="00B03245" w:rsidP="00B03245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6"/>
        <w:gridCol w:w="6803"/>
      </w:tblGrid>
      <w:tr w:rsidR="00B03245" w:rsidRPr="002B253A" w:rsidTr="00624009">
        <w:trPr>
          <w:trHeight w:hRule="exact" w:val="609"/>
        </w:trPr>
        <w:tc>
          <w:tcPr>
            <w:tcW w:w="9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03245" w:rsidRPr="002B253A" w:rsidRDefault="00B03245" w:rsidP="00624009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:rsidR="00B03245" w:rsidRPr="002B253A" w:rsidRDefault="00B03245" w:rsidP="00624009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B03245" w:rsidRPr="002B253A" w:rsidTr="00624009">
        <w:trPr>
          <w:trHeight w:hRule="exact" w:val="1230"/>
        </w:trPr>
        <w:tc>
          <w:tcPr>
            <w:tcW w:w="2616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after="0" w:line="200" w:lineRule="exact"/>
              <w:rPr>
                <w:rFonts w:ascii="Garamond" w:hAnsi="Garamond"/>
                <w:sz w:val="24"/>
                <w:szCs w:val="24"/>
              </w:rPr>
            </w:pPr>
          </w:p>
          <w:p w:rsidR="00B03245" w:rsidRPr="002B253A" w:rsidRDefault="00B03245" w:rsidP="00624009">
            <w:pPr>
              <w:spacing w:before="1" w:after="0" w:line="240" w:lineRule="exact"/>
              <w:rPr>
                <w:rFonts w:ascii="Garamond" w:hAnsi="Garamond"/>
                <w:sz w:val="24"/>
                <w:szCs w:val="24"/>
              </w:rPr>
            </w:pPr>
          </w:p>
          <w:p w:rsidR="00B03245" w:rsidRPr="002B253A" w:rsidRDefault="00B03245" w:rsidP="00624009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Nasl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 dokumenta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:rsidR="00B03245" w:rsidRPr="002B253A" w:rsidRDefault="00B03245" w:rsidP="00B03245">
            <w:pPr>
              <w:spacing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Odluka o</w:t>
            </w:r>
            <w:r w:rsidR="00FE2B30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ugostiteljskoj djel</w:t>
            </w:r>
            <w:r w:rsidR="00D84CA2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</w:t>
            </w:r>
            <w:r w:rsidR="00FE2B30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</w:t>
            </w:r>
            <w:bookmarkStart w:id="0" w:name="_GoBack"/>
            <w:bookmarkEnd w:id="0"/>
            <w:r w:rsidR="00FE2B30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nosti</w:t>
            </w:r>
            <w:r w:rsid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na području Općine Punat</w:t>
            </w:r>
          </w:p>
          <w:p w:rsidR="00B03245" w:rsidRPr="002B253A" w:rsidRDefault="00B03245" w:rsidP="00624009">
            <w:pPr>
              <w:spacing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B03245" w:rsidRPr="002B253A" w:rsidTr="00624009">
        <w:trPr>
          <w:trHeight w:hRule="exact" w:val="919"/>
        </w:trPr>
        <w:tc>
          <w:tcPr>
            <w:tcW w:w="26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Pr="002B253A">
              <w:rPr>
                <w:rFonts w:ascii="Garamond" w:eastAsia="Myriad Pro" w:hAnsi="Garamond" w:cs="Myriad Pro"/>
                <w:color w:val="231F20"/>
                <w:spacing w:val="2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vara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elj dokumenta, tijelo koje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</w:t>
            </w:r>
          </w:p>
        </w:tc>
        <w:tc>
          <w:tcPr>
            <w:tcW w:w="6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16" w:after="0" w:line="280" w:lineRule="exact"/>
              <w:rPr>
                <w:rFonts w:ascii="Garamond" w:hAnsi="Garamond"/>
                <w:sz w:val="24"/>
                <w:szCs w:val="24"/>
              </w:rPr>
            </w:pPr>
          </w:p>
          <w:p w:rsidR="00B03245" w:rsidRPr="002B253A" w:rsidRDefault="00B03245" w:rsidP="00624009">
            <w:pPr>
              <w:spacing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 xml:space="preserve"> Općina Punat</w:t>
            </w:r>
          </w:p>
        </w:tc>
      </w:tr>
      <w:tr w:rsidR="00B03245" w:rsidRPr="002B253A" w:rsidTr="000477F1">
        <w:trPr>
          <w:trHeight w:hRule="exact" w:val="2565"/>
        </w:trPr>
        <w:tc>
          <w:tcPr>
            <w:tcW w:w="26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S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vrha dokumenta</w:t>
            </w:r>
          </w:p>
        </w:tc>
        <w:tc>
          <w:tcPr>
            <w:tcW w:w="6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516181" w:rsidP="00624009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sz w:val="24"/>
                <w:szCs w:val="24"/>
              </w:rPr>
              <w:t>Odluk</w:t>
            </w:r>
            <w:r w:rsidR="007F76D0">
              <w:rPr>
                <w:rFonts w:ascii="Garamond" w:eastAsia="Myriad Pro" w:hAnsi="Garamond" w:cs="Myriad Pro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sz w:val="24"/>
                <w:szCs w:val="24"/>
              </w:rPr>
              <w:t xml:space="preserve"> o ugostiteljskoj djelatnosti </w:t>
            </w:r>
            <w:r w:rsidR="002B253A">
              <w:rPr>
                <w:rFonts w:ascii="Garamond" w:eastAsia="Myriad Pro" w:hAnsi="Garamond" w:cs="Myriad Pro"/>
                <w:sz w:val="24"/>
                <w:szCs w:val="24"/>
              </w:rPr>
              <w:t xml:space="preserve">na području Općine Punat </w:t>
            </w:r>
            <w:r w:rsidR="007F76D0">
              <w:rPr>
                <w:rFonts w:ascii="Garamond" w:eastAsia="Myriad Pro" w:hAnsi="Garamond" w:cs="Myriad Pro"/>
                <w:sz w:val="24"/>
                <w:szCs w:val="24"/>
              </w:rPr>
              <w:t xml:space="preserve">donosi se </w:t>
            </w:r>
            <w:r w:rsidR="007302ED">
              <w:rPr>
                <w:rFonts w:ascii="Garamond" w:eastAsia="Myriad Pro" w:hAnsi="Garamond" w:cs="Myriad Pro"/>
                <w:sz w:val="24"/>
                <w:szCs w:val="24"/>
              </w:rPr>
              <w:t xml:space="preserve">radi usklađenja s Zakonom o ugostiteljskoj djelatnosti te se istom </w:t>
            </w:r>
            <w:r w:rsidR="002B253A" w:rsidRPr="002B253A">
              <w:rPr>
                <w:rFonts w:ascii="Garamond" w:hAnsi="Garamond"/>
                <w:sz w:val="24"/>
                <w:szCs w:val="24"/>
              </w:rPr>
              <w:t>utvrđuje</w:t>
            </w:r>
            <w:r w:rsidR="002B253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B253A" w:rsidRPr="002B253A">
              <w:rPr>
                <w:rFonts w:ascii="Garamond" w:hAnsi="Garamond"/>
                <w:sz w:val="24"/>
                <w:szCs w:val="24"/>
              </w:rPr>
              <w:t>radno vrijeme ugostiteljskih objekata</w:t>
            </w:r>
            <w:r w:rsidR="002B253A" w:rsidRPr="002B253A">
              <w:rPr>
                <w:rFonts w:ascii="Garamond" w:eastAsia="Times New Roman" w:hAnsi="Garamond"/>
                <w:sz w:val="24"/>
                <w:szCs w:val="24"/>
                <w:lang w:eastAsia="hr-HR"/>
              </w:rPr>
              <w:t xml:space="preserve">, </w:t>
            </w:r>
            <w:r w:rsidR="002B253A" w:rsidRPr="002B253A">
              <w:rPr>
                <w:rFonts w:ascii="Garamond" w:hAnsi="Garamond"/>
                <w:sz w:val="24"/>
                <w:szCs w:val="24"/>
              </w:rPr>
              <w:t>prostora za usluživanje na otvorenom ugostiteljskih objekata (terasa i sl.), objekata na obiteljskom poljoprivrednom gospodarstvu unutar kojeg se mogu pružati ugostiteljske usluge,  kriteriji za drugačiji raspored početka i završetka radnog vremena za pojedine ugostiteljske objekte te lokacije izvan naseljenih područja naselja na kojima se mogu pružati ugostiteljske usluge</w:t>
            </w:r>
          </w:p>
        </w:tc>
      </w:tr>
      <w:tr w:rsidR="00B03245" w:rsidRPr="002B253A" w:rsidTr="00624009">
        <w:trPr>
          <w:trHeight w:hRule="exact" w:val="360"/>
        </w:trPr>
        <w:tc>
          <w:tcPr>
            <w:tcW w:w="26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Datum dokumenta</w:t>
            </w:r>
          </w:p>
        </w:tc>
        <w:tc>
          <w:tcPr>
            <w:tcW w:w="6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12669C" w:rsidP="00624009">
            <w:pPr>
              <w:spacing w:before="35" w:after="0" w:line="240" w:lineRule="auto"/>
              <w:ind w:left="165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25</w:t>
            </w:r>
            <w:r w:rsidR="00B03245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studenog 2019. godine</w:t>
            </w:r>
          </w:p>
        </w:tc>
      </w:tr>
      <w:tr w:rsidR="00B03245" w:rsidRPr="002B253A" w:rsidTr="00624009">
        <w:trPr>
          <w:trHeight w:hRule="exact" w:val="708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opis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em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, prijedloga ili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oblema o kojemu se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anje: Savjetovanje se provodi o prijedlogu </w:t>
            </w:r>
            <w:r w:rsidR="0012669C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Odluke o ugostiteljskoj djelatnosti</w:t>
            </w:r>
            <w:r w:rsidR="000477F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na području Općine Punat</w:t>
            </w:r>
          </w:p>
        </w:tc>
      </w:tr>
      <w:tr w:rsidR="00B03245" w:rsidRPr="002B253A" w:rsidTr="00624009">
        <w:trPr>
          <w:trHeight w:hRule="exact" w:val="903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svrha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i cilj koji bi se prijedlogom 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B03245" w:rsidRPr="002B253A" w:rsidTr="00624009">
        <w:trPr>
          <w:trHeight w:hRule="exact" w:val="762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me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oda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anja: Savjetovanje se provodi javnom objavom na web stranici Općine Punat putem priloženog obrasca za sudjelovanje u savjetovanju.</w:t>
            </w:r>
          </w:p>
        </w:tc>
      </w:tr>
      <w:tr w:rsidR="00B03245" w:rsidRPr="002B253A" w:rsidTr="00624009">
        <w:trPr>
          <w:trHeight w:hRule="exact" w:val="1367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ok zaprimanja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ora i način na koji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ć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biti pru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ena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vratna in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ormacija: Savjetovanje je otvoreno do </w:t>
            </w:r>
            <w:r w:rsidR="0012669C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1</w:t>
            </w:r>
            <w:r w:rsidR="00422CA2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5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prosinca 2019. godine . Povratne informacije bit će pružene putem Izvješća o provedenom savjetovanju koje će se po zaključenju savjetovanja objaviti na web stranici kao prilog savjetovanja.</w:t>
            </w:r>
          </w:p>
        </w:tc>
      </w:tr>
      <w:tr w:rsidR="00B03245" w:rsidRPr="002B253A" w:rsidTr="00624009">
        <w:trPr>
          <w:trHeight w:hRule="exact" w:val="1525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im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, ad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esa, b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oj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ele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ona i </w:t>
            </w:r>
            <w:r w:rsidRPr="002B253A">
              <w:rPr>
                <w:rFonts w:ascii="Garamond" w:eastAsia="Myriad Pro" w:hAnsi="Garamond" w:cs="Myriad Pro"/>
                <w:color w:val="231F20"/>
                <w:spacing w:val="6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-mail ad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esa osobe kojoj se sudionici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 mogu obratiti za dodatne upi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e: Za sve dodatne upite, sudionici savjetovanja mogu se obratiti</w:t>
            </w:r>
            <w:r w:rsidR="006C47C2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Anamarija Rimay Bjelobaba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r w:rsidR="006C47C2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mag.iur.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r w:rsidR="006C47C2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viša stručna suradnica za pravne poslove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pismeno na adresu Općine Punat, Novi put 2, 51521 Punat ili putem elektronske pošte na e-mail adresu: </w:t>
            </w:r>
            <w:r w:rsidR="006C47C2" w:rsidRPr="002B253A">
              <w:rPr>
                <w:rFonts w:ascii="Garamond" w:eastAsia="Myriad Pro" w:hAnsi="Garamond" w:cs="Myriad Pro"/>
                <w:sz w:val="24"/>
                <w:szCs w:val="24"/>
              </w:rPr>
              <w:t>anamarija.rimay@punat.hr</w:t>
            </w:r>
          </w:p>
          <w:p w:rsidR="00B03245" w:rsidRPr="002B253A" w:rsidRDefault="00B03245" w:rsidP="00624009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B03245" w:rsidRPr="002B253A" w:rsidTr="00624009">
        <w:trPr>
          <w:trHeight w:hRule="exact" w:val="1434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zahtjev onima koji sudjeluju u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B03245" w:rsidRPr="002B253A" w:rsidTr="00624009">
        <w:trPr>
          <w:trHeight w:hRule="exact" w:val="1056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dostupnost odgovora: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ori će biti dostupni na službenoj web stranici Općine Punat u sklopu Izvješća o provedenom savjetovanju, osim </w:t>
            </w:r>
            <w:r w:rsidRPr="002B253A">
              <w:rPr>
                <w:rFonts w:ascii="Garamond" w:eastAsia="Myriad Pro" w:hAnsi="Garamond" w:cs="Myriad Pro"/>
                <w:color w:val="231F20"/>
                <w:spacing w:val="4"/>
                <w:sz w:val="24"/>
                <w:szCs w:val="24"/>
              </w:rPr>
              <w:t>k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ada je onaj koji je poslao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 tražio da podaci ostanu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vjerljivi</w:t>
            </w:r>
          </w:p>
        </w:tc>
      </w:tr>
      <w:tr w:rsidR="00B03245" w:rsidRPr="002B253A" w:rsidTr="00624009">
        <w:trPr>
          <w:trHeight w:hRule="exact" w:val="639"/>
        </w:trPr>
        <w:tc>
          <w:tcPr>
            <w:tcW w:w="94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zivaju se sudionici savjetovanja na dost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vu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vratnih in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ormacija o samom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c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esu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prijedloga za poboljšanje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 u budućnosti. Hvala!</w:t>
            </w:r>
          </w:p>
        </w:tc>
      </w:tr>
    </w:tbl>
    <w:p w:rsidR="00B03245" w:rsidRPr="002B253A" w:rsidRDefault="00B03245" w:rsidP="00B03245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:rsidR="00E26DAB" w:rsidRPr="002B253A" w:rsidRDefault="001A442A">
      <w:pPr>
        <w:rPr>
          <w:rFonts w:ascii="Garamond" w:hAnsi="Garamond"/>
          <w:sz w:val="24"/>
          <w:szCs w:val="24"/>
        </w:rPr>
      </w:pPr>
    </w:p>
    <w:sectPr w:rsidR="00E26DAB" w:rsidRPr="002B253A" w:rsidSect="00B71000">
      <w:footerReference w:type="default" r:id="rId6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42A" w:rsidRDefault="001A442A">
      <w:pPr>
        <w:spacing w:after="0" w:line="240" w:lineRule="auto"/>
      </w:pPr>
      <w:r>
        <w:separator/>
      </w:r>
    </w:p>
  </w:endnote>
  <w:endnote w:type="continuationSeparator" w:id="0">
    <w:p w:rsidR="001A442A" w:rsidRDefault="001A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128" w:rsidRDefault="00B03245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A442A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" filled="f" stroked="f">
              <v:textbox inset="0,0,0,0">
                <w:txbxContent>
                  <w:p w:rsidR="001D7128" w:rsidRDefault="001A442A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42A" w:rsidRDefault="001A442A">
      <w:pPr>
        <w:spacing w:after="0" w:line="240" w:lineRule="auto"/>
      </w:pPr>
      <w:r>
        <w:separator/>
      </w:r>
    </w:p>
  </w:footnote>
  <w:footnote w:type="continuationSeparator" w:id="0">
    <w:p w:rsidR="001A442A" w:rsidRDefault="001A4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45"/>
    <w:rsid w:val="000477F1"/>
    <w:rsid w:val="00056075"/>
    <w:rsid w:val="0010378C"/>
    <w:rsid w:val="0012669C"/>
    <w:rsid w:val="001A442A"/>
    <w:rsid w:val="002B253A"/>
    <w:rsid w:val="00422CA2"/>
    <w:rsid w:val="00516181"/>
    <w:rsid w:val="00536103"/>
    <w:rsid w:val="006C47C2"/>
    <w:rsid w:val="007302ED"/>
    <w:rsid w:val="007F76D0"/>
    <w:rsid w:val="008C19C8"/>
    <w:rsid w:val="00B03245"/>
    <w:rsid w:val="00D84CA2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8A267"/>
  <w15:chartTrackingRefBased/>
  <w15:docId w15:val="{76510876-389D-4C6F-9682-9F8ADB2A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45"/>
    <w:pPr>
      <w:widowControl w:val="0"/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4</cp:revision>
  <dcterms:created xsi:type="dcterms:W3CDTF">2019-11-29T09:44:00Z</dcterms:created>
  <dcterms:modified xsi:type="dcterms:W3CDTF">2019-11-29T10:53:00Z</dcterms:modified>
</cp:coreProperties>
</file>