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C763" w14:textId="77777777" w:rsidR="0018120A" w:rsidRPr="002B253A" w:rsidRDefault="0018120A" w:rsidP="0018120A">
      <w:pPr>
        <w:spacing w:before="2" w:after="0" w:line="160" w:lineRule="exact"/>
        <w:rPr>
          <w:rFonts w:ascii="Garamond" w:hAnsi="Garamond"/>
          <w:sz w:val="24"/>
          <w:szCs w:val="24"/>
        </w:rPr>
      </w:pPr>
    </w:p>
    <w:tbl>
      <w:tblPr>
        <w:tblpPr w:leftFromText="180" w:rightFromText="180" w:vertAnchor="page" w:horzAnchor="margin" w:tblpXSpec="center" w:tblpY="1720"/>
        <w:tblW w:w="0" w:type="auto"/>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63"/>
        <w:gridCol w:w="7230"/>
      </w:tblGrid>
      <w:tr w:rsidR="0018120A" w:rsidRPr="002B253A" w14:paraId="02AE3C09" w14:textId="77777777" w:rsidTr="00CC0367">
        <w:trPr>
          <w:trHeight w:hRule="exact" w:val="609"/>
        </w:trPr>
        <w:tc>
          <w:tcPr>
            <w:tcW w:w="9493" w:type="dxa"/>
            <w:gridSpan w:val="2"/>
            <w:tcBorders>
              <w:top w:val="single" w:sz="4" w:space="0" w:color="auto"/>
              <w:left w:val="single" w:sz="4" w:space="0" w:color="auto"/>
              <w:bottom w:val="single" w:sz="4" w:space="0" w:color="auto"/>
              <w:right w:val="single" w:sz="4" w:space="0" w:color="auto"/>
            </w:tcBorders>
            <w:shd w:val="clear" w:color="auto" w:fill="0070C0"/>
          </w:tcPr>
          <w:p w14:paraId="2679F03E" w14:textId="77777777" w:rsidR="0018120A" w:rsidRPr="002B253A" w:rsidRDefault="0018120A" w:rsidP="00CC0367">
            <w:pPr>
              <w:spacing w:before="3" w:after="0" w:line="140" w:lineRule="exact"/>
              <w:ind w:right="-432"/>
              <w:rPr>
                <w:rFonts w:ascii="Garamond" w:hAnsi="Garamond"/>
                <w:sz w:val="24"/>
                <w:szCs w:val="24"/>
              </w:rPr>
            </w:pPr>
          </w:p>
          <w:p w14:paraId="2F0234BE" w14:textId="77777777" w:rsidR="0018120A" w:rsidRPr="002B253A" w:rsidRDefault="0018120A" w:rsidP="00CC0367">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18120A" w:rsidRPr="002B253A" w14:paraId="5D6599E1" w14:textId="77777777" w:rsidTr="00540E59">
        <w:trPr>
          <w:trHeight w:hRule="exact" w:val="1230"/>
        </w:trPr>
        <w:tc>
          <w:tcPr>
            <w:tcW w:w="2263" w:type="dxa"/>
            <w:tcBorders>
              <w:top w:val="single" w:sz="4" w:space="0" w:color="auto"/>
              <w:bottom w:val="single" w:sz="6" w:space="0" w:color="231F20"/>
            </w:tcBorders>
            <w:shd w:val="clear" w:color="auto" w:fill="D5DCE4" w:themeFill="text2" w:themeFillTint="33"/>
          </w:tcPr>
          <w:p w14:paraId="7141E508" w14:textId="77777777" w:rsidR="0018120A" w:rsidRPr="002B253A" w:rsidRDefault="0018120A" w:rsidP="00CC0367">
            <w:pPr>
              <w:spacing w:after="0" w:line="200" w:lineRule="exact"/>
              <w:rPr>
                <w:rFonts w:ascii="Garamond" w:hAnsi="Garamond"/>
                <w:sz w:val="24"/>
                <w:szCs w:val="24"/>
              </w:rPr>
            </w:pPr>
          </w:p>
          <w:p w14:paraId="07FC53DB" w14:textId="77777777" w:rsidR="0018120A" w:rsidRPr="002B253A" w:rsidRDefault="0018120A" w:rsidP="00CC0367">
            <w:pPr>
              <w:spacing w:before="1" w:after="0" w:line="240" w:lineRule="exact"/>
              <w:rPr>
                <w:rFonts w:ascii="Garamond" w:hAnsi="Garamond"/>
                <w:sz w:val="24"/>
                <w:szCs w:val="24"/>
              </w:rPr>
            </w:pPr>
          </w:p>
          <w:p w14:paraId="7629AAFB" w14:textId="77777777" w:rsidR="0018120A" w:rsidRPr="002B253A" w:rsidRDefault="0018120A" w:rsidP="00CC0367">
            <w:pPr>
              <w:spacing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Nasl</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 dokumenta</w:t>
            </w:r>
          </w:p>
        </w:tc>
        <w:tc>
          <w:tcPr>
            <w:tcW w:w="7230" w:type="dxa"/>
            <w:tcBorders>
              <w:top w:val="single" w:sz="4" w:space="0" w:color="auto"/>
              <w:bottom w:val="single" w:sz="6" w:space="0" w:color="231F20"/>
            </w:tcBorders>
            <w:shd w:val="clear" w:color="auto" w:fill="D5DCE4" w:themeFill="text2" w:themeFillTint="33"/>
          </w:tcPr>
          <w:p w14:paraId="379168C1" w14:textId="77777777" w:rsidR="0018120A" w:rsidRPr="002B253A" w:rsidRDefault="0018120A" w:rsidP="00CC0367">
            <w:pPr>
              <w:spacing w:after="0" w:line="240" w:lineRule="auto"/>
              <w:ind w:right="-20"/>
              <w:rPr>
                <w:rFonts w:ascii="Garamond" w:eastAsia="Myriad Pro" w:hAnsi="Garamond" w:cs="Myriad Pro"/>
                <w:color w:val="231F20"/>
                <w:sz w:val="24"/>
                <w:szCs w:val="24"/>
              </w:rPr>
            </w:pPr>
          </w:p>
          <w:p w14:paraId="55B0BD30" w14:textId="21655ABD" w:rsidR="0018120A" w:rsidRPr="0018120A" w:rsidRDefault="0018120A" w:rsidP="0018120A">
            <w:pPr>
              <w:spacing w:after="0" w:line="240" w:lineRule="auto"/>
              <w:ind w:right="-20"/>
              <w:rPr>
                <w:rFonts w:ascii="Garamond" w:eastAsia="Myriad Pro" w:hAnsi="Garamond" w:cs="Myriad Pro"/>
                <w:color w:val="231F20"/>
                <w:sz w:val="24"/>
                <w:szCs w:val="24"/>
              </w:rPr>
            </w:pPr>
            <w:r>
              <w:rPr>
                <w:rFonts w:ascii="Garamond" w:eastAsia="Myriad Pro" w:hAnsi="Garamond" w:cs="Myriad Pro"/>
                <w:color w:val="231F20"/>
                <w:sz w:val="24"/>
                <w:szCs w:val="24"/>
              </w:rPr>
              <w:t>Odluka</w:t>
            </w:r>
            <w:r>
              <w:t xml:space="preserve"> </w:t>
            </w:r>
            <w:r w:rsidRPr="0018120A">
              <w:rPr>
                <w:rFonts w:ascii="Garamond" w:eastAsia="Myriad Pro" w:hAnsi="Garamond" w:cs="Myriad Pro"/>
                <w:color w:val="231F20"/>
                <w:sz w:val="24"/>
                <w:szCs w:val="24"/>
              </w:rPr>
              <w:t xml:space="preserve">o izmjenama i dopunama Odluke o načinu pružanja javne usluge </w:t>
            </w:r>
          </w:p>
          <w:p w14:paraId="606C7A78" w14:textId="7856BB04" w:rsidR="0018120A" w:rsidRPr="00CF4EAA" w:rsidRDefault="0018120A" w:rsidP="0018120A">
            <w:pPr>
              <w:spacing w:after="0" w:line="240" w:lineRule="auto"/>
              <w:ind w:right="-20"/>
              <w:rPr>
                <w:rFonts w:ascii="Garamond" w:eastAsia="Myriad Pro" w:hAnsi="Garamond" w:cs="Myriad Pro"/>
                <w:color w:val="231F20"/>
                <w:sz w:val="24"/>
                <w:szCs w:val="24"/>
              </w:rPr>
            </w:pPr>
            <w:r w:rsidRPr="0018120A">
              <w:rPr>
                <w:rFonts w:ascii="Garamond" w:eastAsia="Myriad Pro" w:hAnsi="Garamond" w:cs="Myriad Pro"/>
                <w:color w:val="231F20"/>
                <w:sz w:val="24"/>
                <w:szCs w:val="24"/>
              </w:rPr>
              <w:t>sakupljanja komunalnog otpada na području Općine Punat</w:t>
            </w:r>
          </w:p>
          <w:p w14:paraId="3CA33CF0" w14:textId="77777777" w:rsidR="0018120A" w:rsidRPr="002B253A" w:rsidRDefault="0018120A" w:rsidP="00CC0367">
            <w:pPr>
              <w:spacing w:after="0" w:line="240" w:lineRule="auto"/>
              <w:ind w:right="-20"/>
              <w:rPr>
                <w:rFonts w:ascii="Garamond" w:eastAsia="Myriad Pro" w:hAnsi="Garamond" w:cs="Myriad Pro"/>
                <w:sz w:val="24"/>
                <w:szCs w:val="24"/>
              </w:rPr>
            </w:pPr>
          </w:p>
        </w:tc>
      </w:tr>
      <w:tr w:rsidR="0018120A" w:rsidRPr="002B253A" w14:paraId="7873FCE9" w14:textId="77777777" w:rsidTr="00540E59">
        <w:trPr>
          <w:trHeight w:hRule="exact" w:val="919"/>
        </w:trPr>
        <w:tc>
          <w:tcPr>
            <w:tcW w:w="2263" w:type="dxa"/>
            <w:tcBorders>
              <w:top w:val="single" w:sz="6" w:space="0" w:color="231F20"/>
              <w:bottom w:val="single" w:sz="6" w:space="0" w:color="231F20"/>
            </w:tcBorders>
            <w:shd w:val="clear" w:color="auto" w:fill="D5DCE4" w:themeFill="text2" w:themeFillTint="33"/>
          </w:tcPr>
          <w:p w14:paraId="1DCD2CA6" w14:textId="77777777" w:rsidR="0018120A" w:rsidRPr="002B253A" w:rsidRDefault="0018120A" w:rsidP="00CC0367">
            <w:pPr>
              <w:spacing w:before="37" w:after="0" w:line="260" w:lineRule="exact"/>
              <w:ind w:left="108" w:right="407"/>
              <w:rPr>
                <w:rFonts w:ascii="Garamond" w:eastAsia="Myriad Pro" w:hAnsi="Garamond" w:cs="Myriad Pro"/>
                <w:sz w:val="24"/>
                <w:szCs w:val="24"/>
              </w:rPr>
            </w:pPr>
            <w:r w:rsidRPr="002B253A">
              <w:rPr>
                <w:rFonts w:ascii="Garamond" w:eastAsia="Myriad Pro" w:hAnsi="Garamond" w:cs="Myriad Pro"/>
                <w:color w:val="231F20"/>
                <w:sz w:val="24"/>
                <w:szCs w:val="24"/>
              </w:rPr>
              <w:t>S</w:t>
            </w:r>
            <w:r w:rsidRPr="002B253A">
              <w:rPr>
                <w:rFonts w:ascii="Garamond" w:eastAsia="Myriad Pro" w:hAnsi="Garamond" w:cs="Myriad Pro"/>
                <w:color w:val="231F20"/>
                <w:spacing w:val="2"/>
                <w:sz w:val="24"/>
                <w:szCs w:val="24"/>
              </w:rPr>
              <w:t>t</w:t>
            </w:r>
            <w:r w:rsidRPr="002B253A">
              <w:rPr>
                <w:rFonts w:ascii="Garamond" w:eastAsia="Myriad Pro" w:hAnsi="Garamond" w:cs="Myriad Pro"/>
                <w:color w:val="231F20"/>
                <w:sz w:val="24"/>
                <w:szCs w:val="24"/>
              </w:rPr>
              <w:t>vara</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elj dokumenta, tijelo koje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w:t>
            </w:r>
          </w:p>
        </w:tc>
        <w:tc>
          <w:tcPr>
            <w:tcW w:w="7230" w:type="dxa"/>
            <w:tcBorders>
              <w:top w:val="single" w:sz="6" w:space="0" w:color="231F20"/>
              <w:bottom w:val="single" w:sz="6" w:space="0" w:color="231F20"/>
            </w:tcBorders>
            <w:shd w:val="clear" w:color="auto" w:fill="D5DCE4" w:themeFill="text2" w:themeFillTint="33"/>
          </w:tcPr>
          <w:p w14:paraId="6336A2F6" w14:textId="77777777" w:rsidR="0018120A" w:rsidRPr="002B253A" w:rsidRDefault="0018120A" w:rsidP="00CC0367">
            <w:pPr>
              <w:spacing w:before="16" w:after="0" w:line="280" w:lineRule="exact"/>
              <w:rPr>
                <w:rFonts w:ascii="Garamond" w:hAnsi="Garamond"/>
                <w:sz w:val="24"/>
                <w:szCs w:val="24"/>
              </w:rPr>
            </w:pPr>
          </w:p>
          <w:p w14:paraId="42169C39" w14:textId="77777777" w:rsidR="0018120A" w:rsidRPr="002B253A" w:rsidRDefault="0018120A" w:rsidP="00CC0367">
            <w:pPr>
              <w:spacing w:after="0" w:line="240" w:lineRule="auto"/>
              <w:ind w:right="-20"/>
              <w:rPr>
                <w:rFonts w:ascii="Garamond" w:eastAsia="Myriad Pro" w:hAnsi="Garamond" w:cs="Myriad Pro"/>
                <w:sz w:val="24"/>
                <w:szCs w:val="24"/>
              </w:rPr>
            </w:pPr>
            <w:r w:rsidRPr="002B253A">
              <w:rPr>
                <w:rFonts w:ascii="Garamond" w:eastAsia="Myriad Pro" w:hAnsi="Garamond" w:cs="Myriad Pro"/>
                <w:color w:val="231F20"/>
                <w:spacing w:val="-3"/>
                <w:sz w:val="24"/>
                <w:szCs w:val="24"/>
              </w:rPr>
              <w:t xml:space="preserve"> Općina Punat</w:t>
            </w:r>
          </w:p>
        </w:tc>
      </w:tr>
      <w:tr w:rsidR="0018120A" w:rsidRPr="002B253A" w14:paraId="30A8D936" w14:textId="77777777" w:rsidTr="00540E59">
        <w:trPr>
          <w:trHeight w:hRule="exact" w:val="2565"/>
        </w:trPr>
        <w:tc>
          <w:tcPr>
            <w:tcW w:w="2263" w:type="dxa"/>
            <w:tcBorders>
              <w:top w:val="single" w:sz="6" w:space="0" w:color="231F20"/>
              <w:bottom w:val="single" w:sz="6" w:space="0" w:color="231F20"/>
            </w:tcBorders>
            <w:shd w:val="clear" w:color="auto" w:fill="D5DCE4" w:themeFill="text2" w:themeFillTint="33"/>
          </w:tcPr>
          <w:p w14:paraId="14BA7E6B" w14:textId="77777777" w:rsidR="0018120A" w:rsidRPr="002B253A" w:rsidRDefault="0018120A" w:rsidP="00CC0367">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pacing w:val="-2"/>
                <w:sz w:val="24"/>
                <w:szCs w:val="24"/>
              </w:rPr>
              <w:t>S</w:t>
            </w:r>
            <w:r w:rsidRPr="002B253A">
              <w:rPr>
                <w:rFonts w:ascii="Garamond" w:eastAsia="Myriad Pro" w:hAnsi="Garamond" w:cs="Myriad Pro"/>
                <w:color w:val="231F20"/>
                <w:sz w:val="24"/>
                <w:szCs w:val="24"/>
              </w:rPr>
              <w:t>vrha dokumenta</w:t>
            </w:r>
          </w:p>
        </w:tc>
        <w:tc>
          <w:tcPr>
            <w:tcW w:w="7230" w:type="dxa"/>
            <w:tcBorders>
              <w:top w:val="single" w:sz="6" w:space="0" w:color="231F20"/>
              <w:bottom w:val="single" w:sz="6" w:space="0" w:color="231F20"/>
            </w:tcBorders>
            <w:shd w:val="clear" w:color="auto" w:fill="D5DCE4" w:themeFill="text2" w:themeFillTint="33"/>
          </w:tcPr>
          <w:p w14:paraId="51908771" w14:textId="3329B8C3" w:rsidR="0018120A" w:rsidRPr="002B253A" w:rsidRDefault="0018120A" w:rsidP="00540E59">
            <w:pPr>
              <w:spacing w:before="35" w:after="0" w:line="240" w:lineRule="auto"/>
              <w:ind w:right="-20"/>
              <w:rPr>
                <w:rFonts w:ascii="Garamond" w:eastAsia="Myriad Pro" w:hAnsi="Garamond" w:cs="Myriad Pro"/>
                <w:sz w:val="24"/>
                <w:szCs w:val="24"/>
              </w:rPr>
            </w:pPr>
            <w:r>
              <w:rPr>
                <w:rFonts w:ascii="Garamond" w:eastAsia="Myriad Pro" w:hAnsi="Garamond" w:cs="Myriad Pro"/>
                <w:sz w:val="24"/>
                <w:szCs w:val="24"/>
              </w:rPr>
              <w:t>Ova</w:t>
            </w:r>
            <w:r w:rsidR="00540E59">
              <w:rPr>
                <w:rFonts w:ascii="Garamond" w:eastAsia="Myriad Pro" w:hAnsi="Garamond" w:cs="Myriad Pro"/>
                <w:sz w:val="24"/>
                <w:szCs w:val="24"/>
              </w:rPr>
              <w:t xml:space="preserve"> </w:t>
            </w:r>
            <w:r w:rsidR="00540E59">
              <w:t xml:space="preserve"> </w:t>
            </w:r>
            <w:r w:rsidR="00540E59" w:rsidRPr="00540E59">
              <w:rPr>
                <w:rFonts w:ascii="Garamond" w:eastAsia="Myriad Pro" w:hAnsi="Garamond" w:cs="Myriad Pro"/>
                <w:sz w:val="24"/>
                <w:szCs w:val="24"/>
              </w:rPr>
              <w:t>Odluka o izmjenama i dopunama Odluke o načinu pružanja javne</w:t>
            </w:r>
            <w:r w:rsidR="005838DA">
              <w:rPr>
                <w:rFonts w:ascii="Garamond" w:eastAsia="Myriad Pro" w:hAnsi="Garamond" w:cs="Myriad Pro"/>
                <w:sz w:val="24"/>
                <w:szCs w:val="24"/>
              </w:rPr>
              <w:t xml:space="preserve"> </w:t>
            </w:r>
            <w:r w:rsidR="00540E59" w:rsidRPr="00540E59">
              <w:rPr>
                <w:rFonts w:ascii="Garamond" w:eastAsia="Myriad Pro" w:hAnsi="Garamond" w:cs="Myriad Pro"/>
                <w:sz w:val="24"/>
                <w:szCs w:val="24"/>
              </w:rPr>
              <w:t>usluge sakupljanja komunalnog otpada na području Općine Punat</w:t>
            </w:r>
            <w:r w:rsidR="005838DA">
              <w:rPr>
                <w:rFonts w:ascii="Garamond" w:eastAsia="Myriad Pro" w:hAnsi="Garamond" w:cs="Myriad Pro"/>
                <w:sz w:val="24"/>
                <w:szCs w:val="24"/>
              </w:rPr>
              <w:t xml:space="preserve"> donosi se zbog uvođenja </w:t>
            </w:r>
            <w:r w:rsidR="005838DA" w:rsidRPr="005838DA">
              <w:rPr>
                <w:rFonts w:ascii="Garamond" w:eastAsia="Myriad Pro" w:hAnsi="Garamond" w:cs="Myriad Pro"/>
                <w:sz w:val="24"/>
                <w:szCs w:val="24"/>
              </w:rPr>
              <w:t>RFID kartice za korištenje spremnika na javnoj površini</w:t>
            </w:r>
            <w:r w:rsidR="00055ECB">
              <w:rPr>
                <w:rFonts w:ascii="Garamond" w:eastAsia="Myriad Pro" w:hAnsi="Garamond" w:cs="Myriad Pro"/>
                <w:sz w:val="24"/>
                <w:szCs w:val="24"/>
              </w:rPr>
              <w:t xml:space="preserve">, tj. </w:t>
            </w:r>
            <w:r w:rsidR="00055ECB">
              <w:t xml:space="preserve"> </w:t>
            </w:r>
            <w:r w:rsidR="00055ECB">
              <w:rPr>
                <w:rFonts w:ascii="Garamond" w:eastAsia="Myriad Pro" w:hAnsi="Garamond" w:cs="Myriad Pro"/>
                <w:sz w:val="24"/>
                <w:szCs w:val="24"/>
              </w:rPr>
              <w:t>na</w:t>
            </w:r>
            <w:r w:rsidR="00055ECB" w:rsidRPr="00055ECB">
              <w:rPr>
                <w:rFonts w:ascii="Garamond" w:eastAsia="Myriad Pro" w:hAnsi="Garamond" w:cs="Myriad Pro"/>
                <w:sz w:val="24"/>
                <w:szCs w:val="24"/>
              </w:rPr>
              <w:t xml:space="preserve"> spremnik</w:t>
            </w:r>
            <w:r w:rsidR="00055ECB">
              <w:rPr>
                <w:rFonts w:ascii="Garamond" w:eastAsia="Myriad Pro" w:hAnsi="Garamond" w:cs="Myriad Pro"/>
                <w:sz w:val="24"/>
                <w:szCs w:val="24"/>
              </w:rPr>
              <w:t>e</w:t>
            </w:r>
            <w:r w:rsidR="00055ECB" w:rsidRPr="00055ECB">
              <w:rPr>
                <w:rFonts w:ascii="Garamond" w:eastAsia="Myriad Pro" w:hAnsi="Garamond" w:cs="Myriad Pro"/>
                <w:sz w:val="24"/>
                <w:szCs w:val="24"/>
              </w:rPr>
              <w:t xml:space="preserve"> za miješani komunalni otpad ugrađuje</w:t>
            </w:r>
            <w:r w:rsidR="00055ECB">
              <w:rPr>
                <w:rFonts w:ascii="Garamond" w:eastAsia="Myriad Pro" w:hAnsi="Garamond" w:cs="Myriad Pro"/>
                <w:sz w:val="24"/>
                <w:szCs w:val="24"/>
              </w:rPr>
              <w:t xml:space="preserve"> se</w:t>
            </w:r>
            <w:r w:rsidR="00055ECB" w:rsidRPr="00055ECB">
              <w:rPr>
                <w:rFonts w:ascii="Garamond" w:eastAsia="Myriad Pro" w:hAnsi="Garamond" w:cs="Myriad Pro"/>
                <w:sz w:val="24"/>
                <w:szCs w:val="24"/>
              </w:rPr>
              <w:t xml:space="preserve"> otpadomjer</w:t>
            </w:r>
            <w:r w:rsidR="00055ECB">
              <w:rPr>
                <w:rFonts w:ascii="Garamond" w:eastAsia="Myriad Pro" w:hAnsi="Garamond" w:cs="Myriad Pro"/>
                <w:sz w:val="24"/>
                <w:szCs w:val="24"/>
              </w:rPr>
              <w:t>i</w:t>
            </w:r>
            <w:r w:rsidR="00055ECB" w:rsidRPr="00055ECB">
              <w:rPr>
                <w:rFonts w:ascii="Garamond" w:eastAsia="Myriad Pro" w:hAnsi="Garamond" w:cs="Myriad Pro"/>
                <w:sz w:val="24"/>
                <w:szCs w:val="24"/>
              </w:rPr>
              <w:t xml:space="preserve"> s brojačem ubačenih vrećica</w:t>
            </w:r>
            <w:r w:rsidR="00DC14F8">
              <w:rPr>
                <w:rFonts w:ascii="Garamond" w:eastAsia="Myriad Pro" w:hAnsi="Garamond" w:cs="Myriad Pro"/>
                <w:sz w:val="24"/>
                <w:szCs w:val="24"/>
              </w:rPr>
              <w:t xml:space="preserve"> </w:t>
            </w:r>
            <w:r w:rsidR="00DC14F8">
              <w:t xml:space="preserve"> pri čemu se </w:t>
            </w:r>
            <w:r w:rsidR="00DC14F8" w:rsidRPr="00DC14F8">
              <w:rPr>
                <w:rFonts w:ascii="Garamond" w:eastAsia="Myriad Pro" w:hAnsi="Garamond" w:cs="Myriad Pro"/>
                <w:sz w:val="24"/>
                <w:szCs w:val="24"/>
              </w:rPr>
              <w:t>pojedinačno korištenje javne usluge omogućuje</w:t>
            </w:r>
            <w:r w:rsidR="00DC14F8">
              <w:rPr>
                <w:rFonts w:ascii="Garamond" w:eastAsia="Myriad Pro" w:hAnsi="Garamond" w:cs="Myriad Pro"/>
                <w:sz w:val="24"/>
                <w:szCs w:val="24"/>
              </w:rPr>
              <w:t xml:space="preserve"> </w:t>
            </w:r>
            <w:r w:rsidR="00DC14F8" w:rsidRPr="00DC14F8">
              <w:rPr>
                <w:rFonts w:ascii="Garamond" w:eastAsia="Myriad Pro" w:hAnsi="Garamond" w:cs="Myriad Pro"/>
                <w:sz w:val="24"/>
                <w:szCs w:val="24"/>
              </w:rPr>
              <w:t>evidentiranjem pojedinačnog korištenja</w:t>
            </w:r>
            <w:r w:rsidR="00DC14F8">
              <w:rPr>
                <w:rFonts w:ascii="Garamond" w:eastAsia="Myriad Pro" w:hAnsi="Garamond" w:cs="Myriad Pro"/>
                <w:sz w:val="24"/>
                <w:szCs w:val="24"/>
              </w:rPr>
              <w:t xml:space="preserve"> spremnika. Nadalje, jasnije je definiran</w:t>
            </w:r>
            <w:r w:rsidR="007322AC">
              <w:rPr>
                <w:rFonts w:ascii="Garamond" w:eastAsia="Myriad Pro" w:hAnsi="Garamond" w:cs="Myriad Pro"/>
                <w:sz w:val="24"/>
                <w:szCs w:val="24"/>
              </w:rPr>
              <w:t>o</w:t>
            </w:r>
            <w:r w:rsidR="007322AC">
              <w:t xml:space="preserve"> </w:t>
            </w:r>
            <w:r w:rsidR="007322AC" w:rsidRPr="007322AC">
              <w:rPr>
                <w:rFonts w:ascii="Garamond" w:eastAsia="Myriad Pro" w:hAnsi="Garamond" w:cs="Myriad Pro"/>
                <w:sz w:val="24"/>
                <w:szCs w:val="24"/>
              </w:rPr>
              <w:t xml:space="preserve">što obuhvaća </w:t>
            </w:r>
            <w:r w:rsidR="00DC14F8">
              <w:rPr>
                <w:rFonts w:ascii="Garamond" w:eastAsia="Myriad Pro" w:hAnsi="Garamond" w:cs="Myriad Pro"/>
                <w:sz w:val="24"/>
                <w:szCs w:val="24"/>
              </w:rPr>
              <w:t>cijena javne usluge</w:t>
            </w:r>
            <w:r w:rsidR="007322AC">
              <w:rPr>
                <w:rFonts w:ascii="Garamond" w:eastAsia="Myriad Pro" w:hAnsi="Garamond" w:cs="Myriad Pro"/>
                <w:sz w:val="24"/>
                <w:szCs w:val="24"/>
              </w:rPr>
              <w:t>, ugovorna kazna</w:t>
            </w:r>
            <w:r w:rsidR="00DC14F8">
              <w:rPr>
                <w:rFonts w:ascii="Garamond" w:eastAsia="Myriad Pro" w:hAnsi="Garamond" w:cs="Myriad Pro"/>
                <w:sz w:val="24"/>
                <w:szCs w:val="24"/>
              </w:rPr>
              <w:t>.</w:t>
            </w:r>
          </w:p>
        </w:tc>
      </w:tr>
      <w:tr w:rsidR="0018120A" w:rsidRPr="002B253A" w14:paraId="6E19BD72" w14:textId="77777777" w:rsidTr="00540E59">
        <w:trPr>
          <w:trHeight w:hRule="exact" w:val="360"/>
        </w:trPr>
        <w:tc>
          <w:tcPr>
            <w:tcW w:w="2263" w:type="dxa"/>
            <w:tcBorders>
              <w:top w:val="single" w:sz="6" w:space="0" w:color="231F20"/>
              <w:bottom w:val="single" w:sz="6" w:space="0" w:color="231F20"/>
            </w:tcBorders>
            <w:shd w:val="clear" w:color="auto" w:fill="D5DCE4" w:themeFill="text2" w:themeFillTint="33"/>
          </w:tcPr>
          <w:p w14:paraId="58A1BA51" w14:textId="77777777" w:rsidR="0018120A" w:rsidRPr="002B253A" w:rsidRDefault="0018120A" w:rsidP="00CC0367">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Datum dokumenta</w:t>
            </w:r>
          </w:p>
        </w:tc>
        <w:tc>
          <w:tcPr>
            <w:tcW w:w="7230" w:type="dxa"/>
            <w:tcBorders>
              <w:top w:val="single" w:sz="6" w:space="0" w:color="231F20"/>
              <w:bottom w:val="single" w:sz="6" w:space="0" w:color="231F20"/>
            </w:tcBorders>
            <w:shd w:val="clear" w:color="auto" w:fill="D5DCE4" w:themeFill="text2" w:themeFillTint="33"/>
          </w:tcPr>
          <w:p w14:paraId="4F759D20" w14:textId="6D393B31" w:rsidR="0018120A" w:rsidRPr="002B253A" w:rsidRDefault="007322AC" w:rsidP="00CC0367">
            <w:pPr>
              <w:spacing w:before="35" w:after="0" w:line="240" w:lineRule="auto"/>
              <w:ind w:left="165" w:right="-20"/>
              <w:rPr>
                <w:rFonts w:ascii="Garamond" w:eastAsia="Myriad Pro" w:hAnsi="Garamond" w:cs="Myriad Pro"/>
                <w:sz w:val="24"/>
                <w:szCs w:val="24"/>
              </w:rPr>
            </w:pPr>
            <w:r>
              <w:rPr>
                <w:rFonts w:ascii="Garamond" w:eastAsia="Myriad Pro" w:hAnsi="Garamond" w:cs="Myriad Pro"/>
                <w:color w:val="231F20"/>
                <w:sz w:val="24"/>
                <w:szCs w:val="24"/>
              </w:rPr>
              <w:t>1</w:t>
            </w:r>
            <w:r w:rsidR="00ED57CB">
              <w:rPr>
                <w:rFonts w:ascii="Garamond" w:eastAsia="Myriad Pro" w:hAnsi="Garamond" w:cs="Myriad Pro"/>
                <w:color w:val="231F20"/>
                <w:sz w:val="24"/>
                <w:szCs w:val="24"/>
              </w:rPr>
              <w:t>9</w:t>
            </w:r>
            <w:r w:rsidR="0018120A" w:rsidRPr="002B253A">
              <w:rPr>
                <w:rFonts w:ascii="Garamond" w:eastAsia="Myriad Pro" w:hAnsi="Garamond" w:cs="Myriad Pro"/>
                <w:color w:val="231F20"/>
                <w:sz w:val="24"/>
                <w:szCs w:val="24"/>
              </w:rPr>
              <w:t xml:space="preserve">. </w:t>
            </w:r>
            <w:r>
              <w:rPr>
                <w:rFonts w:ascii="Garamond" w:eastAsia="Myriad Pro" w:hAnsi="Garamond" w:cs="Myriad Pro"/>
                <w:color w:val="231F20"/>
                <w:sz w:val="24"/>
                <w:szCs w:val="24"/>
              </w:rPr>
              <w:t>travnja</w:t>
            </w:r>
            <w:r w:rsidR="0018120A" w:rsidRPr="002B253A">
              <w:rPr>
                <w:rFonts w:ascii="Garamond" w:eastAsia="Myriad Pro" w:hAnsi="Garamond" w:cs="Myriad Pro"/>
                <w:color w:val="231F20"/>
                <w:sz w:val="24"/>
                <w:szCs w:val="24"/>
              </w:rPr>
              <w:t xml:space="preserve"> 20</w:t>
            </w:r>
            <w:r w:rsidR="0018120A">
              <w:rPr>
                <w:rFonts w:ascii="Garamond" w:eastAsia="Myriad Pro" w:hAnsi="Garamond" w:cs="Myriad Pro"/>
                <w:color w:val="231F20"/>
                <w:sz w:val="24"/>
                <w:szCs w:val="24"/>
              </w:rPr>
              <w:t>23</w:t>
            </w:r>
            <w:r w:rsidR="0018120A" w:rsidRPr="002B253A">
              <w:rPr>
                <w:rFonts w:ascii="Garamond" w:eastAsia="Myriad Pro" w:hAnsi="Garamond" w:cs="Myriad Pro"/>
                <w:color w:val="231F20"/>
                <w:sz w:val="24"/>
                <w:szCs w:val="24"/>
              </w:rPr>
              <w:t>. godine</w:t>
            </w:r>
          </w:p>
        </w:tc>
      </w:tr>
      <w:tr w:rsidR="0018120A" w:rsidRPr="002B253A" w14:paraId="62981D97" w14:textId="77777777" w:rsidTr="007322AC">
        <w:trPr>
          <w:trHeight w:hRule="exact" w:val="997"/>
        </w:trPr>
        <w:tc>
          <w:tcPr>
            <w:tcW w:w="9493" w:type="dxa"/>
            <w:gridSpan w:val="2"/>
            <w:tcBorders>
              <w:top w:val="single" w:sz="6" w:space="0" w:color="231F20"/>
              <w:bottom w:val="single" w:sz="6" w:space="0" w:color="231F20"/>
            </w:tcBorders>
            <w:shd w:val="clear" w:color="auto" w:fill="D5DCE4" w:themeFill="text2" w:themeFillTint="33"/>
          </w:tcPr>
          <w:p w14:paraId="6C85C309" w14:textId="627EF4CB" w:rsidR="0018120A" w:rsidRPr="00AC020E" w:rsidRDefault="0018120A" w:rsidP="00AC020E">
            <w:pPr>
              <w:spacing w:before="35" w:after="0" w:line="240" w:lineRule="auto"/>
              <w:ind w:left="108" w:right="-20"/>
              <w:rPr>
                <w:rFonts w:ascii="Garamond" w:eastAsia="Myriad Pro" w:hAnsi="Garamond" w:cs="Myriad Pro"/>
                <w:color w:val="231F20"/>
                <w:sz w:val="24"/>
                <w:szCs w:val="24"/>
              </w:rPr>
            </w:pPr>
            <w:r w:rsidRPr="002B253A">
              <w:rPr>
                <w:rFonts w:ascii="Garamond" w:eastAsia="Myriad Pro" w:hAnsi="Garamond" w:cs="Myriad Pro"/>
                <w:color w:val="231F20"/>
                <w:sz w:val="24"/>
                <w:szCs w:val="24"/>
              </w:rPr>
              <w:t xml:space="preserve">– opis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prijedloga ili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oblema o kojemu se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 Savjetovanje se provodi o prijedlogu</w:t>
            </w:r>
            <w:r w:rsidR="007322AC">
              <w:t xml:space="preserve"> </w:t>
            </w:r>
            <w:r w:rsidR="007322AC" w:rsidRPr="007322AC">
              <w:rPr>
                <w:rFonts w:ascii="Garamond" w:eastAsia="Myriad Pro" w:hAnsi="Garamond" w:cs="Myriad Pro"/>
                <w:color w:val="231F20"/>
                <w:sz w:val="24"/>
                <w:szCs w:val="24"/>
              </w:rPr>
              <w:t>Odluk</w:t>
            </w:r>
            <w:r w:rsidR="00AC020E">
              <w:rPr>
                <w:rFonts w:ascii="Garamond" w:eastAsia="Myriad Pro" w:hAnsi="Garamond" w:cs="Myriad Pro"/>
                <w:color w:val="231F20"/>
                <w:sz w:val="24"/>
                <w:szCs w:val="24"/>
              </w:rPr>
              <w:t>e</w:t>
            </w:r>
            <w:r w:rsidR="007322AC" w:rsidRPr="007322AC">
              <w:rPr>
                <w:rFonts w:ascii="Garamond" w:eastAsia="Myriad Pro" w:hAnsi="Garamond" w:cs="Myriad Pro"/>
                <w:color w:val="231F20"/>
                <w:sz w:val="24"/>
                <w:szCs w:val="24"/>
              </w:rPr>
              <w:t xml:space="preserve"> o izmjenama i dopunama Odluke o načinu pružanja javne usluge sakupljanja komunalnog otpada na području Općine Punat</w:t>
            </w:r>
            <w:r>
              <w:rPr>
                <w:rFonts w:ascii="Garamond" w:eastAsia="Myriad Pro" w:hAnsi="Garamond" w:cs="Myriad Pro"/>
                <w:color w:val="231F20"/>
                <w:sz w:val="24"/>
                <w:szCs w:val="24"/>
              </w:rPr>
              <w:t>.</w:t>
            </w:r>
          </w:p>
        </w:tc>
      </w:tr>
      <w:tr w:rsidR="0018120A" w:rsidRPr="002B253A" w14:paraId="1515944E" w14:textId="77777777" w:rsidTr="00CC0367">
        <w:trPr>
          <w:trHeight w:hRule="exact" w:val="903"/>
        </w:trPr>
        <w:tc>
          <w:tcPr>
            <w:tcW w:w="9493" w:type="dxa"/>
            <w:gridSpan w:val="2"/>
            <w:tcBorders>
              <w:top w:val="single" w:sz="6" w:space="0" w:color="231F20"/>
              <w:bottom w:val="single" w:sz="6" w:space="0" w:color="231F20"/>
            </w:tcBorders>
            <w:shd w:val="clear" w:color="auto" w:fill="D5DCE4" w:themeFill="text2" w:themeFillTint="33"/>
          </w:tcPr>
          <w:p w14:paraId="00B4044C" w14:textId="77777777" w:rsidR="0018120A" w:rsidRPr="002B253A" w:rsidRDefault="0018120A" w:rsidP="00CC0367">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svrha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i cilj koji bi se prijedlogom </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elio postići: Cilj savjetovanja sa zainteresiranom javnošću jest upoznavanje zainteresirane javnosti  s prijedlogom dokumenta te prikupljanje prijedloga i primjedbi zainteresirane javnosti koji će se razmatrati i eventualno prihvatiti.</w:t>
            </w:r>
          </w:p>
        </w:tc>
      </w:tr>
      <w:tr w:rsidR="0018120A" w:rsidRPr="002B253A" w14:paraId="7AACEB32" w14:textId="77777777" w:rsidTr="00CC0367">
        <w:trPr>
          <w:trHeight w:hRule="exact" w:val="762"/>
        </w:trPr>
        <w:tc>
          <w:tcPr>
            <w:tcW w:w="9493" w:type="dxa"/>
            <w:gridSpan w:val="2"/>
            <w:tcBorders>
              <w:top w:val="single" w:sz="6" w:space="0" w:color="231F20"/>
              <w:bottom w:val="single" w:sz="6" w:space="0" w:color="231F20"/>
            </w:tcBorders>
            <w:shd w:val="clear" w:color="auto" w:fill="D5DCE4" w:themeFill="text2" w:themeFillTint="33"/>
          </w:tcPr>
          <w:p w14:paraId="77E72CC1" w14:textId="77777777" w:rsidR="0018120A" w:rsidRPr="002B253A" w:rsidRDefault="0018120A" w:rsidP="00CC0367">
            <w:pPr>
              <w:spacing w:before="37" w:after="0" w:line="260" w:lineRule="exact"/>
              <w:ind w:left="265" w:right="645" w:hanging="157"/>
              <w:rPr>
                <w:rFonts w:ascii="Garamond" w:eastAsia="Myriad Pro" w:hAnsi="Garamond" w:cs="Myriad Pro"/>
                <w:sz w:val="24"/>
                <w:szCs w:val="24"/>
              </w:rPr>
            </w:pPr>
            <w:r w:rsidRPr="002B253A">
              <w:rPr>
                <w:rFonts w:ascii="Garamond" w:eastAsia="Myriad Pro" w:hAnsi="Garamond" w:cs="Myriad Pro"/>
                <w:color w:val="231F20"/>
                <w:sz w:val="24"/>
                <w:szCs w:val="24"/>
              </w:rPr>
              <w:t>– me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oda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Savjetovanje se provodi javnom objavom na web stranici Općine Punat putem priloženog obrasca za sudjelovanje u savjetovanju.</w:t>
            </w:r>
          </w:p>
        </w:tc>
      </w:tr>
      <w:tr w:rsidR="0018120A" w:rsidRPr="002B253A" w14:paraId="4E221E46" w14:textId="77777777" w:rsidTr="00AC020E">
        <w:trPr>
          <w:trHeight w:hRule="exact" w:val="1177"/>
        </w:trPr>
        <w:tc>
          <w:tcPr>
            <w:tcW w:w="9493" w:type="dxa"/>
            <w:gridSpan w:val="2"/>
            <w:tcBorders>
              <w:top w:val="single" w:sz="6" w:space="0" w:color="231F20"/>
              <w:bottom w:val="single" w:sz="6" w:space="0" w:color="231F20"/>
            </w:tcBorders>
            <w:shd w:val="clear" w:color="auto" w:fill="D5DCE4" w:themeFill="text2" w:themeFillTint="33"/>
          </w:tcPr>
          <w:p w14:paraId="56C7E828" w14:textId="7CA372D4" w:rsidR="0018120A" w:rsidRPr="002B253A" w:rsidRDefault="0018120A" w:rsidP="00CC0367">
            <w:pPr>
              <w:spacing w:before="37" w:after="0" w:line="260" w:lineRule="exact"/>
              <w:ind w:left="265" w:right="270" w:hanging="157"/>
              <w:rPr>
                <w:rFonts w:ascii="Garamond" w:eastAsia="Myriad Pro" w:hAnsi="Garamond" w:cs="Myriad Pro"/>
                <w:sz w:val="24"/>
                <w:szCs w:val="24"/>
              </w:rPr>
            </w:pPr>
            <w:r w:rsidRPr="002B253A">
              <w:rPr>
                <w:rFonts w:ascii="Garamond" w:eastAsia="Myriad Pro" w:hAnsi="Garamond" w:cs="Myriad Pro"/>
                <w:color w:val="231F20"/>
                <w:sz w:val="24"/>
                <w:szCs w:val="24"/>
              </w:rPr>
              <w:t xml:space="preserve">– </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ok zaprimanja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ora i način na koji </w:t>
            </w:r>
            <w:r w:rsidRPr="002B253A">
              <w:rPr>
                <w:rFonts w:ascii="Garamond" w:eastAsia="Myriad Pro" w:hAnsi="Garamond" w:cs="Myriad Pro"/>
                <w:color w:val="231F20"/>
                <w:spacing w:val="-1"/>
                <w:sz w:val="24"/>
                <w:szCs w:val="24"/>
              </w:rPr>
              <w:t>ć</w:t>
            </w:r>
            <w:r w:rsidRPr="002B253A">
              <w:rPr>
                <w:rFonts w:ascii="Garamond" w:eastAsia="Myriad Pro" w:hAnsi="Garamond" w:cs="Myriad Pro"/>
                <w:color w:val="231F20"/>
                <w:sz w:val="24"/>
                <w:szCs w:val="24"/>
              </w:rPr>
              <w:t>e biti pru</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ena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vratna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ormacija: Savjetovanje je otvoreno do </w:t>
            </w:r>
            <w:r w:rsidR="00AC020E">
              <w:rPr>
                <w:rFonts w:ascii="Garamond" w:eastAsia="Myriad Pro" w:hAnsi="Garamond" w:cs="Myriad Pro"/>
                <w:color w:val="231F20"/>
                <w:sz w:val="24"/>
                <w:szCs w:val="24"/>
              </w:rPr>
              <w:t>1</w:t>
            </w:r>
            <w:r w:rsidR="00ED57CB">
              <w:rPr>
                <w:rFonts w:ascii="Garamond" w:eastAsia="Myriad Pro" w:hAnsi="Garamond" w:cs="Myriad Pro"/>
                <w:color w:val="231F20"/>
                <w:sz w:val="24"/>
                <w:szCs w:val="24"/>
              </w:rPr>
              <w:t>9</w:t>
            </w:r>
            <w:r w:rsidRPr="002B253A">
              <w:rPr>
                <w:rFonts w:ascii="Garamond" w:eastAsia="Myriad Pro" w:hAnsi="Garamond" w:cs="Myriad Pro"/>
                <w:color w:val="231F20"/>
                <w:sz w:val="24"/>
                <w:szCs w:val="24"/>
              </w:rPr>
              <w:t xml:space="preserve">. </w:t>
            </w:r>
            <w:r w:rsidR="00AC020E">
              <w:rPr>
                <w:rFonts w:ascii="Garamond" w:eastAsia="Myriad Pro" w:hAnsi="Garamond" w:cs="Myriad Pro"/>
                <w:color w:val="231F20"/>
                <w:sz w:val="24"/>
                <w:szCs w:val="24"/>
              </w:rPr>
              <w:t>svibnja</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23</w:t>
            </w:r>
            <w:r w:rsidRPr="002B253A">
              <w:rPr>
                <w:rFonts w:ascii="Garamond" w:eastAsia="Myriad Pro" w:hAnsi="Garamond" w:cs="Myriad Pro"/>
                <w:color w:val="231F20"/>
                <w:sz w:val="24"/>
                <w:szCs w:val="24"/>
              </w:rPr>
              <w:t>. godine . Povratne informacije bit će pružene putem Izvješća o provedenom savjetovanju koje će se po zaključenju savjetovanja objaviti na web stranici kao prilog savjetovanja.</w:t>
            </w:r>
          </w:p>
        </w:tc>
      </w:tr>
      <w:tr w:rsidR="0018120A" w:rsidRPr="002B253A" w14:paraId="4C164FC7" w14:textId="77777777" w:rsidTr="00CC0367">
        <w:trPr>
          <w:trHeight w:hRule="exact" w:val="1525"/>
        </w:trPr>
        <w:tc>
          <w:tcPr>
            <w:tcW w:w="9493" w:type="dxa"/>
            <w:gridSpan w:val="2"/>
            <w:tcBorders>
              <w:top w:val="single" w:sz="6" w:space="0" w:color="231F20"/>
              <w:bottom w:val="single" w:sz="6" w:space="0" w:color="231F20"/>
            </w:tcBorders>
            <w:shd w:val="clear" w:color="auto" w:fill="D5DCE4" w:themeFill="text2" w:themeFillTint="33"/>
          </w:tcPr>
          <w:p w14:paraId="0DF031CF" w14:textId="77777777" w:rsidR="0018120A" w:rsidRPr="002B253A" w:rsidRDefault="0018120A" w:rsidP="00CC0367">
            <w:pPr>
              <w:spacing w:before="37" w:after="0" w:line="260" w:lineRule="exact"/>
              <w:ind w:left="265" w:right="1094" w:hanging="157"/>
              <w:rPr>
                <w:rFonts w:ascii="Garamond" w:eastAsia="Myriad Pro" w:hAnsi="Garamond" w:cs="Myriad Pro"/>
                <w:color w:val="231F20"/>
                <w:sz w:val="24"/>
                <w:szCs w:val="24"/>
              </w:rPr>
            </w:pPr>
            <w:r w:rsidRPr="002B253A">
              <w:rPr>
                <w:rFonts w:ascii="Garamond" w:eastAsia="Myriad Pro" w:hAnsi="Garamond" w:cs="Myriad Pro"/>
                <w:color w:val="231F20"/>
                <w:sz w:val="24"/>
                <w:szCs w:val="24"/>
              </w:rPr>
              <w:t>– im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b</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 xml:space="preserve">oj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ele</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ona i </w:t>
            </w:r>
            <w:r w:rsidRPr="002B253A">
              <w:rPr>
                <w:rFonts w:ascii="Garamond" w:eastAsia="Myriad Pro" w:hAnsi="Garamond" w:cs="Myriad Pro"/>
                <w:color w:val="231F20"/>
                <w:spacing w:val="6"/>
                <w:sz w:val="24"/>
                <w:szCs w:val="24"/>
              </w:rPr>
              <w:t>e</w:t>
            </w:r>
            <w:r w:rsidRPr="002B253A">
              <w:rPr>
                <w:rFonts w:ascii="Garamond" w:eastAsia="Myriad Pro" w:hAnsi="Garamond" w:cs="Myriad Pro"/>
                <w:color w:val="231F20"/>
                <w:sz w:val="24"/>
                <w:szCs w:val="24"/>
              </w:rPr>
              <w:t>-mail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osobe kojoj se sudionici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mogu obratiti za dodatne upi</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 xml:space="preserve">e: Za sve dodatne upite, sudionici savjetovanja mogu se obratiti Anamarija Rimay Bjelobaba, mag.iur., viša stručna suradnica za pravne poslove, pismeno na adresu Općine Punat, Novi put 2, 51521 Punat ili putem elektronske pošte na e-mail adresu: </w:t>
            </w:r>
            <w:hyperlink r:id="rId6" w:history="1">
              <w:r w:rsidRPr="001C184F">
                <w:rPr>
                  <w:rStyle w:val="Hiperveza"/>
                  <w:rFonts w:ascii="Garamond" w:eastAsia="Myriad Pro" w:hAnsi="Garamond" w:cs="Myriad Pro"/>
                  <w:sz w:val="24"/>
                  <w:szCs w:val="24"/>
                </w:rPr>
                <w:t>anamarija.rimay@punat.hr</w:t>
              </w:r>
            </w:hyperlink>
            <w:r>
              <w:rPr>
                <w:rFonts w:ascii="Garamond" w:eastAsia="Myriad Pro" w:hAnsi="Garamond" w:cs="Myriad Pro"/>
                <w:sz w:val="24"/>
                <w:szCs w:val="24"/>
              </w:rPr>
              <w:t xml:space="preserve"> </w:t>
            </w:r>
          </w:p>
          <w:p w14:paraId="52B38586" w14:textId="77777777" w:rsidR="0018120A" w:rsidRPr="002B253A" w:rsidRDefault="0018120A" w:rsidP="00CC0367">
            <w:pPr>
              <w:spacing w:before="37" w:after="0" w:line="260" w:lineRule="exact"/>
              <w:ind w:left="265" w:right="1094" w:hanging="157"/>
              <w:rPr>
                <w:rFonts w:ascii="Garamond" w:eastAsia="Myriad Pro" w:hAnsi="Garamond" w:cs="Myriad Pro"/>
                <w:sz w:val="24"/>
                <w:szCs w:val="24"/>
              </w:rPr>
            </w:pPr>
          </w:p>
        </w:tc>
      </w:tr>
      <w:tr w:rsidR="0018120A" w:rsidRPr="002B253A" w14:paraId="771C5F92" w14:textId="77777777" w:rsidTr="00CC0367">
        <w:trPr>
          <w:trHeight w:hRule="exact" w:val="1434"/>
        </w:trPr>
        <w:tc>
          <w:tcPr>
            <w:tcW w:w="9493" w:type="dxa"/>
            <w:gridSpan w:val="2"/>
            <w:tcBorders>
              <w:top w:val="single" w:sz="6" w:space="0" w:color="231F20"/>
              <w:bottom w:val="single" w:sz="6" w:space="0" w:color="231F20"/>
            </w:tcBorders>
            <w:shd w:val="clear" w:color="auto" w:fill="D5DCE4" w:themeFill="text2" w:themeFillTint="33"/>
          </w:tcPr>
          <w:p w14:paraId="0EFF66EE" w14:textId="77777777" w:rsidR="0018120A" w:rsidRPr="002B253A" w:rsidRDefault="0018120A" w:rsidP="00CC0367">
            <w:pPr>
              <w:spacing w:before="37" w:after="0" w:line="260" w:lineRule="exact"/>
              <w:ind w:left="265" w:right="1050" w:hanging="157"/>
              <w:rPr>
                <w:rFonts w:ascii="Garamond" w:eastAsia="Myriad Pro" w:hAnsi="Garamond" w:cs="Myriad Pro"/>
                <w:sz w:val="24"/>
                <w:szCs w:val="24"/>
              </w:rPr>
            </w:pPr>
            <w:r w:rsidRPr="002B253A">
              <w:rPr>
                <w:rFonts w:ascii="Garamond" w:eastAsia="Myriad Pro" w:hAnsi="Garamond" w:cs="Myriad Pro"/>
                <w:color w:val="231F20"/>
                <w:sz w:val="24"/>
                <w:szCs w:val="24"/>
              </w:rPr>
              <w:t>– zahtjev onima koji sudjeluju 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18120A" w:rsidRPr="002B253A" w14:paraId="7B833C6C" w14:textId="77777777" w:rsidTr="00A70741">
        <w:trPr>
          <w:trHeight w:hRule="exact" w:val="853"/>
        </w:trPr>
        <w:tc>
          <w:tcPr>
            <w:tcW w:w="9493" w:type="dxa"/>
            <w:gridSpan w:val="2"/>
            <w:tcBorders>
              <w:top w:val="single" w:sz="6" w:space="0" w:color="231F20"/>
              <w:bottom w:val="single" w:sz="4" w:space="0" w:color="231F20"/>
            </w:tcBorders>
            <w:shd w:val="clear" w:color="auto" w:fill="D5DCE4" w:themeFill="text2" w:themeFillTint="33"/>
          </w:tcPr>
          <w:p w14:paraId="168B5D33" w14:textId="77777777" w:rsidR="0018120A" w:rsidRPr="002B253A" w:rsidRDefault="0018120A" w:rsidP="00CC0367">
            <w:pPr>
              <w:spacing w:before="37" w:after="0" w:line="260" w:lineRule="exact"/>
              <w:ind w:left="265" w:right="598" w:hanging="157"/>
              <w:rPr>
                <w:rFonts w:ascii="Garamond" w:eastAsia="Myriad Pro" w:hAnsi="Garamond" w:cs="Myriad Pro"/>
                <w:sz w:val="24"/>
                <w:szCs w:val="24"/>
              </w:rPr>
            </w:pPr>
            <w:r w:rsidRPr="002B253A">
              <w:rPr>
                <w:rFonts w:ascii="Garamond" w:eastAsia="Myriad Pro" w:hAnsi="Garamond" w:cs="Myriad Pro"/>
                <w:color w:val="231F20"/>
                <w:sz w:val="24"/>
                <w:szCs w:val="24"/>
              </w:rPr>
              <w:t>– dostupnost odgovora: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ori će biti dostupni na službenoj web stranici Općine Punat u sklopu Izvješća o provedenom savjetovanju, osim </w:t>
            </w:r>
            <w:r w:rsidRPr="002B253A">
              <w:rPr>
                <w:rFonts w:ascii="Garamond" w:eastAsia="Myriad Pro" w:hAnsi="Garamond" w:cs="Myriad Pro"/>
                <w:color w:val="231F20"/>
                <w:spacing w:val="4"/>
                <w:sz w:val="24"/>
                <w:szCs w:val="24"/>
              </w:rPr>
              <w:t>k</w:t>
            </w:r>
            <w:r w:rsidRPr="002B253A">
              <w:rPr>
                <w:rFonts w:ascii="Garamond" w:eastAsia="Myriad Pro" w:hAnsi="Garamond" w:cs="Myriad Pro"/>
                <w:color w:val="231F20"/>
                <w:sz w:val="24"/>
                <w:szCs w:val="24"/>
              </w:rPr>
              <w:t>ada je onaj koji je poslao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or tražio da podaci ostanu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vjerljivi</w:t>
            </w:r>
          </w:p>
        </w:tc>
      </w:tr>
      <w:tr w:rsidR="0018120A" w:rsidRPr="002B253A" w14:paraId="6C9197A4" w14:textId="77777777" w:rsidTr="00CC0367">
        <w:trPr>
          <w:trHeight w:hRule="exact" w:val="639"/>
        </w:trPr>
        <w:tc>
          <w:tcPr>
            <w:tcW w:w="9493"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74B205B3" w14:textId="77777777" w:rsidR="0018120A" w:rsidRPr="002B253A" w:rsidRDefault="0018120A" w:rsidP="00CC0367">
            <w:pPr>
              <w:spacing w:before="37" w:after="0" w:line="260" w:lineRule="exact"/>
              <w:ind w:left="265" w:right="1154" w:hanging="157"/>
              <w:rPr>
                <w:rFonts w:ascii="Garamond" w:eastAsia="Myriad Pro" w:hAnsi="Garamond" w:cs="Myriad Pro"/>
                <w:sz w:val="24"/>
                <w:szCs w:val="24"/>
              </w:rPr>
            </w:pPr>
            <w:r w:rsidRPr="002B253A">
              <w:rPr>
                <w:rFonts w:ascii="Garamond" w:eastAsia="Myriad Pro" w:hAnsi="Garamond" w:cs="Myriad Pro"/>
                <w:color w:val="231F20"/>
                <w:sz w:val="24"/>
                <w:szCs w:val="24"/>
              </w:rPr>
              <w:t>–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zivaju se sudionici savjetovanja na dost</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vratnih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ormacija o samom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w:t>
            </w:r>
            <w:r w:rsidRPr="002B253A">
              <w:rPr>
                <w:rFonts w:ascii="Garamond" w:eastAsia="Myriad Pro" w:hAnsi="Garamond" w:cs="Myriad Pro"/>
                <w:color w:val="231F20"/>
                <w:spacing w:val="-1"/>
                <w:sz w:val="24"/>
                <w:szCs w:val="24"/>
              </w:rPr>
              <w:t>c</w:t>
            </w:r>
            <w:r w:rsidRPr="002B253A">
              <w:rPr>
                <w:rFonts w:ascii="Garamond" w:eastAsia="Myriad Pro" w:hAnsi="Garamond" w:cs="Myriad Pro"/>
                <w:color w:val="231F20"/>
                <w:sz w:val="24"/>
                <w:szCs w:val="24"/>
              </w:rPr>
              <w:t>esu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 prijedloga za poboljšanje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u budućnosti. Hvala!</w:t>
            </w:r>
          </w:p>
        </w:tc>
      </w:tr>
    </w:tbl>
    <w:p w14:paraId="287352E9" w14:textId="77777777" w:rsidR="0018120A" w:rsidRPr="002B253A" w:rsidRDefault="0018120A" w:rsidP="0018120A">
      <w:pPr>
        <w:spacing w:before="7" w:after="0" w:line="120" w:lineRule="exact"/>
        <w:rPr>
          <w:rFonts w:ascii="Garamond" w:hAnsi="Garamond"/>
          <w:sz w:val="24"/>
          <w:szCs w:val="24"/>
        </w:rPr>
      </w:pPr>
    </w:p>
    <w:p w14:paraId="6B407083" w14:textId="77777777" w:rsidR="0018120A" w:rsidRPr="002B253A" w:rsidRDefault="0018120A" w:rsidP="0018120A">
      <w:pPr>
        <w:rPr>
          <w:rFonts w:ascii="Garamond" w:hAnsi="Garamond"/>
          <w:sz w:val="24"/>
          <w:szCs w:val="24"/>
        </w:rPr>
      </w:pPr>
    </w:p>
    <w:p w14:paraId="22293074" w14:textId="77777777" w:rsidR="0018120A" w:rsidRDefault="0018120A" w:rsidP="0018120A"/>
    <w:p w14:paraId="2134841F" w14:textId="77777777" w:rsidR="0018120A" w:rsidRDefault="0018120A" w:rsidP="0018120A"/>
    <w:p w14:paraId="49F218A4" w14:textId="77777777" w:rsidR="00E26DAB" w:rsidRDefault="00000000"/>
    <w:sectPr w:rsidR="00E26DAB" w:rsidSect="00B71000">
      <w:footerReference w:type="default" r:id="rId7"/>
      <w:pgSz w:w="11900" w:h="16840"/>
      <w:pgMar w:top="142" w:right="1280" w:bottom="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A5DC" w14:textId="77777777" w:rsidR="00510A0C" w:rsidRDefault="00510A0C">
      <w:pPr>
        <w:spacing w:after="0" w:line="240" w:lineRule="auto"/>
      </w:pPr>
      <w:r>
        <w:separator/>
      </w:r>
    </w:p>
  </w:endnote>
  <w:endnote w:type="continuationSeparator" w:id="0">
    <w:p w14:paraId="32AA06FC" w14:textId="77777777" w:rsidR="00510A0C" w:rsidRDefault="0051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03B5" w14:textId="77777777" w:rsidR="001D7128" w:rsidRDefault="00A70741">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62C8E00A" wp14:editId="4F47C1CA">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52A7" w14:textId="77777777" w:rsidR="001D7128" w:rsidRDefault="00000000">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8E00A"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n1QEAAJADAAAOAAAAZHJzL2Uyb0RvYy54bWysU9uO0zAQfUfiHyy/07QVARQ1XS27WoS0&#10;XKRlP2Di2ElE4jFjt0n5esZO04XlDfFije3xmXPOjHdX09CLoybfoS3lZrWWQluFdWebUj5+u3v1&#10;TgofwNbQo9WlPGkvr/YvX+xGV+gtttjXmgSDWF+MrpRtCK7IMq9aPYBfodOWLw3SAIG31GQ1wcjo&#10;Q59t1+s32YhUO0KlvefT2/lS7hO+MVqFL8Z4HURfSuYW0kppreKa7XdQNASu7dSZBvwDiwE6y0Uv&#10;ULcQQByo+wtq6BShRxNWCocMjemUThpYzWb9TM1DC04nLWyOdxeb/P+DVZ+PD+4riTC9x4kbmER4&#10;d4/quxcWb1qwjb4mwrHVUHPhTbQsG50vzk+j1b7wEaQaP2HNTYZDwAQ0GRqiK6xTMDo34HQxXU9B&#10;qFgyz/O3uRSKrzb59vU6NSWDYnnsyIcPGgcRg1IS9zSBw/Heh0gGiiUl1rJ41/V96mtv/zjgxHiS&#10;yEe+M/MwVRNnRxEV1ieWQTiPCY81By3STylGHpFS+h8HIC1F/9GyFXGeloCWoFoCsIqfljJIMYc3&#10;YZ67g6OuaRl5NtviNdtluiTlicWZJ7c9KTyPaJyr3/cp6+kj7X8BAAD//wMAUEsDBBQABgAIAAAA&#10;IQB1xway3gAAAA0BAAAPAAAAZHJzL2Rvd25yZXYueG1sTE9NT4NAFLyb+B82r4k3u6CWCGVpGqMn&#10;EyPFg8eFfQVS9i2y2xb/va+nepvJTOYj38x2ECecfO9IQbyMQCA1zvTUKviq3u6fQfigyejBESr4&#10;RQ+b4vYm15lxZyrxtAut4BDymVbQhTBmUvqmQ6v90o1IrO3dZHVgOrXSTPrM4XaQD1GUSKt74oZO&#10;j/jSYXPYHa2C7TeVr/3PR/1Z7su+qtKI3pODUneLebsGEXAOVzNc5vN0KHhT7Y5kvBiYx/ETWxms&#10;0oRfXSyPqxREzSDhbpBFLv+/KP4AAAD//wMAUEsBAi0AFAAGAAgAAAAhALaDOJL+AAAA4QEAABMA&#10;AAAAAAAAAAAAAAAAAAAAAFtDb250ZW50X1R5cGVzXS54bWxQSwECLQAUAAYACAAAACEAOP0h/9YA&#10;AACUAQAACwAAAAAAAAAAAAAAAAAvAQAAX3JlbHMvLnJlbHNQSwECLQAUAAYACAAAACEAsoLnp9UB&#10;AACQAwAADgAAAAAAAAAAAAAAAAAuAgAAZHJzL2Uyb0RvYy54bWxQSwECLQAUAAYACAAAACEAdccG&#10;st4AAAANAQAADwAAAAAAAAAAAAAAAAAvBAAAZHJzL2Rvd25yZXYueG1sUEsFBgAAAAAEAAQA8wAA&#10;ADoFAAAAAA==&#10;" filled="f" stroked="f">
              <v:textbox inset="0,0,0,0">
                <w:txbxContent>
                  <w:p w14:paraId="76BD52A7" w14:textId="77777777" w:rsidR="001D7128" w:rsidRDefault="00000000">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062E" w14:textId="77777777" w:rsidR="00510A0C" w:rsidRDefault="00510A0C">
      <w:pPr>
        <w:spacing w:after="0" w:line="240" w:lineRule="auto"/>
      </w:pPr>
      <w:r>
        <w:separator/>
      </w:r>
    </w:p>
  </w:footnote>
  <w:footnote w:type="continuationSeparator" w:id="0">
    <w:p w14:paraId="10A4BE4E" w14:textId="77777777" w:rsidR="00510A0C" w:rsidRDefault="00510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0A"/>
    <w:rsid w:val="00055ECB"/>
    <w:rsid w:val="0010378C"/>
    <w:rsid w:val="0018120A"/>
    <w:rsid w:val="00510A0C"/>
    <w:rsid w:val="00540E59"/>
    <w:rsid w:val="005838DA"/>
    <w:rsid w:val="007322AC"/>
    <w:rsid w:val="008C19C8"/>
    <w:rsid w:val="00A70741"/>
    <w:rsid w:val="00AC020E"/>
    <w:rsid w:val="00DC14F8"/>
    <w:rsid w:val="00ED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2A70"/>
  <w15:chartTrackingRefBased/>
  <w15:docId w15:val="{A9286C7B-0C6A-42CA-A03D-2FDD5F7A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0A"/>
    <w:pPr>
      <w:widowControl w:val="0"/>
      <w:spacing w:after="200" w:line="27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812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marija.rimay@punat.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2</cp:revision>
  <dcterms:created xsi:type="dcterms:W3CDTF">2023-04-19T09:07:00Z</dcterms:created>
  <dcterms:modified xsi:type="dcterms:W3CDTF">2023-04-19T09:07:00Z</dcterms:modified>
</cp:coreProperties>
</file>