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45654" w14:textId="77777777" w:rsidR="00802934" w:rsidRPr="00091F1A" w:rsidRDefault="00802934" w:rsidP="00802934">
      <w:pPr>
        <w:spacing w:line="12" w:lineRule="exact"/>
        <w:rPr>
          <w:rFonts w:ascii="Garamond" w:hAnsi="Garamond"/>
          <w:sz w:val="24"/>
          <w:szCs w:val="24"/>
        </w:rPr>
      </w:pPr>
    </w:p>
    <w:p w14:paraId="415D8F20" w14:textId="28C2B341" w:rsidR="00802934" w:rsidRPr="00802934" w:rsidRDefault="00802934" w:rsidP="00802934">
      <w:pPr>
        <w:ind w:firstLine="720"/>
        <w:rPr>
          <w:rFonts w:ascii="Garamond" w:hAnsi="Garamond"/>
          <w:sz w:val="24"/>
          <w:szCs w:val="24"/>
        </w:rPr>
      </w:pPr>
      <w:r w:rsidRPr="00802934">
        <w:rPr>
          <w:rFonts w:ascii="Garamond" w:hAnsi="Garamond"/>
          <w:sz w:val="24"/>
          <w:szCs w:val="24"/>
        </w:rPr>
        <w:t>Na temelju članka 78. i članka 95. stavka 3. Zakona o komunalnom gospodarstvu („Narodne novine“ broj 68/18, 110/18 i 32/20) i članka 3</w:t>
      </w:r>
      <w:r w:rsidR="005E3141">
        <w:rPr>
          <w:rFonts w:ascii="Garamond" w:hAnsi="Garamond"/>
          <w:sz w:val="24"/>
          <w:szCs w:val="24"/>
        </w:rPr>
        <w:t>2</w:t>
      </w:r>
      <w:r w:rsidRPr="00802934">
        <w:rPr>
          <w:rFonts w:ascii="Garamond" w:hAnsi="Garamond"/>
          <w:sz w:val="24"/>
          <w:szCs w:val="24"/>
        </w:rPr>
        <w:t>. Statuta Općine Punat („Službene novine Primorsko-goranske županije“ broj</w:t>
      </w:r>
      <w:r w:rsidR="005E3141">
        <w:rPr>
          <w:rFonts w:ascii="Garamond" w:hAnsi="Garamond"/>
          <w:sz w:val="24"/>
          <w:szCs w:val="24"/>
        </w:rPr>
        <w:t xml:space="preserve"> 36/22</w:t>
      </w:r>
      <w:r w:rsidRPr="00802934">
        <w:rPr>
          <w:rFonts w:ascii="Garamond" w:hAnsi="Garamond"/>
          <w:sz w:val="24"/>
          <w:szCs w:val="24"/>
        </w:rPr>
        <w:t xml:space="preserve">) Općinsko vijeće Općine Punat je na </w:t>
      </w:r>
      <w:r w:rsidR="001A6D76">
        <w:rPr>
          <w:rFonts w:ascii="Garamond" w:hAnsi="Garamond"/>
          <w:sz w:val="24"/>
          <w:szCs w:val="24"/>
        </w:rPr>
        <w:t>____</w:t>
      </w:r>
      <w:r w:rsidRPr="00802934">
        <w:rPr>
          <w:rFonts w:ascii="Garamond" w:hAnsi="Garamond"/>
          <w:sz w:val="24"/>
          <w:szCs w:val="24"/>
        </w:rPr>
        <w:t xml:space="preserve"> sjednici održanoj </w:t>
      </w:r>
      <w:r w:rsidR="005E3141">
        <w:rPr>
          <w:rFonts w:ascii="Garamond" w:hAnsi="Garamond"/>
          <w:sz w:val="24"/>
          <w:szCs w:val="24"/>
        </w:rPr>
        <w:t xml:space="preserve">____________ </w:t>
      </w:r>
      <w:r w:rsidRPr="00802934">
        <w:rPr>
          <w:rFonts w:ascii="Garamond" w:hAnsi="Garamond"/>
          <w:sz w:val="24"/>
          <w:szCs w:val="24"/>
        </w:rPr>
        <w:t>202</w:t>
      </w:r>
      <w:r w:rsidR="00BD21E1">
        <w:rPr>
          <w:rFonts w:ascii="Garamond" w:hAnsi="Garamond"/>
          <w:sz w:val="24"/>
          <w:szCs w:val="24"/>
        </w:rPr>
        <w:t>3</w:t>
      </w:r>
      <w:r w:rsidRPr="00802934">
        <w:rPr>
          <w:rFonts w:ascii="Garamond" w:hAnsi="Garamond"/>
          <w:sz w:val="24"/>
          <w:szCs w:val="24"/>
        </w:rPr>
        <w:t>. godine, donosi</w:t>
      </w:r>
    </w:p>
    <w:p w14:paraId="3D48983D" w14:textId="77777777" w:rsidR="00802934" w:rsidRPr="00802934" w:rsidRDefault="00802934" w:rsidP="00802934">
      <w:pPr>
        <w:ind w:firstLine="720"/>
        <w:rPr>
          <w:rFonts w:ascii="Garamond" w:hAnsi="Garamond"/>
          <w:sz w:val="24"/>
          <w:szCs w:val="24"/>
        </w:rPr>
      </w:pPr>
    </w:p>
    <w:p w14:paraId="5559DFA2" w14:textId="57F45CF6" w:rsidR="00802934" w:rsidRPr="00BD21E1" w:rsidRDefault="00802934" w:rsidP="00BD21E1">
      <w:pPr>
        <w:ind w:firstLine="720"/>
        <w:jc w:val="center"/>
        <w:rPr>
          <w:rFonts w:ascii="Garamond" w:hAnsi="Garamond"/>
          <w:b/>
          <w:bCs/>
          <w:sz w:val="24"/>
          <w:szCs w:val="24"/>
        </w:rPr>
      </w:pPr>
      <w:r w:rsidRPr="00BD21E1">
        <w:rPr>
          <w:rFonts w:ascii="Garamond" w:hAnsi="Garamond"/>
          <w:b/>
          <w:bCs/>
          <w:sz w:val="24"/>
          <w:szCs w:val="24"/>
        </w:rPr>
        <w:t>ODLUKU</w:t>
      </w:r>
    </w:p>
    <w:p w14:paraId="7733348E" w14:textId="69E7037F" w:rsidR="00802934" w:rsidRPr="00BD21E1" w:rsidRDefault="00BD21E1" w:rsidP="00BD21E1">
      <w:pPr>
        <w:ind w:firstLine="720"/>
        <w:jc w:val="center"/>
        <w:rPr>
          <w:rFonts w:ascii="Garamond" w:hAnsi="Garamond"/>
          <w:b/>
          <w:bCs/>
          <w:sz w:val="24"/>
          <w:szCs w:val="24"/>
        </w:rPr>
      </w:pPr>
      <w:r w:rsidRPr="00BD21E1">
        <w:rPr>
          <w:rFonts w:ascii="Garamond" w:hAnsi="Garamond"/>
          <w:b/>
          <w:bCs/>
          <w:sz w:val="24"/>
          <w:szCs w:val="24"/>
        </w:rPr>
        <w:t xml:space="preserve">o izmjeni </w:t>
      </w:r>
      <w:r w:rsidR="00263246">
        <w:rPr>
          <w:rFonts w:ascii="Garamond" w:hAnsi="Garamond"/>
          <w:b/>
          <w:bCs/>
          <w:sz w:val="24"/>
          <w:szCs w:val="24"/>
        </w:rPr>
        <w:t xml:space="preserve">i dopuni </w:t>
      </w:r>
      <w:r w:rsidRPr="00BD21E1">
        <w:rPr>
          <w:rFonts w:ascii="Garamond" w:hAnsi="Garamond"/>
          <w:b/>
          <w:bCs/>
          <w:sz w:val="24"/>
          <w:szCs w:val="24"/>
        </w:rPr>
        <w:t xml:space="preserve">Odluke </w:t>
      </w:r>
      <w:r w:rsidR="00802934" w:rsidRPr="00BD21E1">
        <w:rPr>
          <w:rFonts w:ascii="Garamond" w:hAnsi="Garamond"/>
          <w:b/>
          <w:bCs/>
          <w:sz w:val="24"/>
          <w:szCs w:val="24"/>
        </w:rPr>
        <w:t>o komunalnom doprinosu</w:t>
      </w:r>
    </w:p>
    <w:p w14:paraId="23ACD742" w14:textId="77777777" w:rsidR="00802934" w:rsidRPr="00091F1A" w:rsidRDefault="00802934" w:rsidP="00802934">
      <w:pPr>
        <w:jc w:val="center"/>
        <w:rPr>
          <w:rFonts w:ascii="Garamond" w:hAnsi="Garamond"/>
          <w:b/>
          <w:sz w:val="24"/>
          <w:szCs w:val="24"/>
        </w:rPr>
      </w:pPr>
    </w:p>
    <w:p w14:paraId="38CABBE5" w14:textId="77777777" w:rsidR="00802934" w:rsidRPr="00091F1A" w:rsidRDefault="00802934" w:rsidP="00802934">
      <w:pPr>
        <w:jc w:val="center"/>
        <w:rPr>
          <w:rFonts w:ascii="Garamond" w:hAnsi="Garamond"/>
          <w:b/>
          <w:sz w:val="24"/>
          <w:szCs w:val="24"/>
        </w:rPr>
      </w:pPr>
      <w:r w:rsidRPr="00091F1A">
        <w:rPr>
          <w:rFonts w:ascii="Garamond" w:hAnsi="Garamond"/>
          <w:b/>
          <w:sz w:val="24"/>
          <w:szCs w:val="24"/>
        </w:rPr>
        <w:t xml:space="preserve">    Članak 1.</w:t>
      </w:r>
    </w:p>
    <w:p w14:paraId="7B31E248" w14:textId="65B3623C" w:rsidR="00B62C1C" w:rsidRDefault="00802934" w:rsidP="00802934">
      <w:pPr>
        <w:rPr>
          <w:rFonts w:ascii="Garamond" w:hAnsi="Garamond"/>
          <w:sz w:val="24"/>
          <w:szCs w:val="24"/>
        </w:rPr>
      </w:pPr>
      <w:r>
        <w:rPr>
          <w:rFonts w:ascii="Garamond" w:hAnsi="Garamond"/>
          <w:sz w:val="24"/>
          <w:szCs w:val="24"/>
        </w:rPr>
        <w:t xml:space="preserve">           U Odluci o </w:t>
      </w:r>
      <w:r w:rsidR="00BD21E1">
        <w:rPr>
          <w:rFonts w:ascii="Garamond" w:hAnsi="Garamond"/>
          <w:sz w:val="24"/>
          <w:szCs w:val="24"/>
        </w:rPr>
        <w:t xml:space="preserve">komunalnom doprinosu </w:t>
      </w:r>
      <w:r>
        <w:rPr>
          <w:rFonts w:ascii="Garamond" w:hAnsi="Garamond"/>
          <w:sz w:val="24"/>
          <w:szCs w:val="24"/>
        </w:rPr>
        <w:t xml:space="preserve">(„Službene novine Primorsko-goranske županije“ broj </w:t>
      </w:r>
      <w:r w:rsidR="00BD21E1">
        <w:rPr>
          <w:rFonts w:ascii="Garamond" w:hAnsi="Garamond"/>
          <w:sz w:val="24"/>
          <w:szCs w:val="24"/>
        </w:rPr>
        <w:t>38/20</w:t>
      </w:r>
      <w:r>
        <w:rPr>
          <w:rFonts w:ascii="Garamond" w:hAnsi="Garamond"/>
          <w:sz w:val="24"/>
          <w:szCs w:val="24"/>
        </w:rPr>
        <w:t>) član</w:t>
      </w:r>
      <w:r w:rsidR="00C4432F">
        <w:rPr>
          <w:rFonts w:ascii="Garamond" w:hAnsi="Garamond"/>
          <w:sz w:val="24"/>
          <w:szCs w:val="24"/>
        </w:rPr>
        <w:t>a</w:t>
      </w:r>
      <w:r>
        <w:rPr>
          <w:rFonts w:ascii="Garamond" w:hAnsi="Garamond"/>
          <w:sz w:val="24"/>
          <w:szCs w:val="24"/>
        </w:rPr>
        <w:t xml:space="preserve">k </w:t>
      </w:r>
      <w:r w:rsidR="00B62C1C">
        <w:rPr>
          <w:rFonts w:ascii="Garamond" w:hAnsi="Garamond"/>
          <w:sz w:val="24"/>
          <w:szCs w:val="24"/>
        </w:rPr>
        <w:t xml:space="preserve">4. </w:t>
      </w:r>
      <w:r w:rsidR="008F740F">
        <w:rPr>
          <w:rFonts w:ascii="Garamond" w:hAnsi="Garamond"/>
          <w:sz w:val="24"/>
          <w:szCs w:val="24"/>
        </w:rPr>
        <w:t>mijenja se i sada glasi:</w:t>
      </w:r>
    </w:p>
    <w:p w14:paraId="4CB41D08" w14:textId="7E4566CA" w:rsidR="008F740F" w:rsidRDefault="008F740F" w:rsidP="008F740F">
      <w:pPr>
        <w:rPr>
          <w:rFonts w:ascii="Garamond" w:hAnsi="Garamond"/>
          <w:sz w:val="24"/>
          <w:szCs w:val="24"/>
        </w:rPr>
      </w:pPr>
      <w:r>
        <w:rPr>
          <w:rFonts w:ascii="Garamond" w:hAnsi="Garamond"/>
          <w:sz w:val="24"/>
          <w:szCs w:val="24"/>
        </w:rPr>
        <w:t>„</w:t>
      </w:r>
      <w:r w:rsidRPr="008F740F">
        <w:rPr>
          <w:rFonts w:ascii="Garamond" w:hAnsi="Garamond"/>
          <w:sz w:val="24"/>
          <w:szCs w:val="24"/>
        </w:rPr>
        <w:t>Ovisno o pogodnosti položaja na području Općine Punat i stupnju opremljenosti objekata i uređaja komunalne infrastrukture, utvrđuju se sljedeće zone na području Općine Punat za plaćanje komunalnog doprinosa i jedinične vrijednosti komunalnog doprinosa u zoni iskazane u</w:t>
      </w:r>
      <w:r>
        <w:rPr>
          <w:rFonts w:ascii="Garamond" w:hAnsi="Garamond"/>
          <w:sz w:val="24"/>
          <w:szCs w:val="24"/>
        </w:rPr>
        <w:t xml:space="preserve"> eurima</w:t>
      </w:r>
      <w:r w:rsidRPr="008F740F">
        <w:rPr>
          <w:rFonts w:ascii="Garamond" w:hAnsi="Garamond"/>
          <w:sz w:val="24"/>
          <w:szCs w:val="24"/>
        </w:rPr>
        <w:t xml:space="preserve"> po m³ građevine (</w:t>
      </w:r>
      <w:r>
        <w:rPr>
          <w:rFonts w:ascii="Garamond" w:hAnsi="Garamond"/>
          <w:sz w:val="24"/>
          <w:szCs w:val="24"/>
        </w:rPr>
        <w:t>EUR</w:t>
      </w:r>
      <w:r w:rsidRPr="008F740F">
        <w:rPr>
          <w:rFonts w:ascii="Garamond" w:hAnsi="Garamond"/>
          <w:sz w:val="24"/>
          <w:szCs w:val="24"/>
        </w:rPr>
        <w:t>/m³):</w:t>
      </w:r>
    </w:p>
    <w:p w14:paraId="47855AC7" w14:textId="77777777" w:rsidR="00A333E9" w:rsidRPr="008F740F" w:rsidRDefault="00A333E9" w:rsidP="008F740F">
      <w:pPr>
        <w:rPr>
          <w:rFonts w:ascii="Garamond" w:hAnsi="Garamond"/>
          <w:sz w:val="24"/>
          <w:szCs w:val="24"/>
        </w:rPr>
      </w:pPr>
    </w:p>
    <w:tbl>
      <w:tblPr>
        <w:tblStyle w:val="TableGrid"/>
        <w:tblW w:w="0" w:type="auto"/>
        <w:tblInd w:w="0" w:type="dxa"/>
        <w:tblLook w:val="04A0" w:firstRow="1" w:lastRow="0" w:firstColumn="1" w:lastColumn="0" w:noHBand="0" w:noVBand="1"/>
      </w:tblPr>
      <w:tblGrid>
        <w:gridCol w:w="5240"/>
        <w:gridCol w:w="3822"/>
      </w:tblGrid>
      <w:tr w:rsidR="008F740F" w14:paraId="428DAAE3" w14:textId="77777777" w:rsidTr="008F740F">
        <w:trPr>
          <w:trHeight w:val="653"/>
        </w:trPr>
        <w:tc>
          <w:tcPr>
            <w:tcW w:w="5240" w:type="dxa"/>
            <w:tcBorders>
              <w:top w:val="single" w:sz="4" w:space="0" w:color="auto"/>
              <w:left w:val="single" w:sz="4" w:space="0" w:color="auto"/>
              <w:bottom w:val="single" w:sz="4" w:space="0" w:color="auto"/>
              <w:right w:val="single" w:sz="4" w:space="0" w:color="auto"/>
            </w:tcBorders>
            <w:hideMark/>
          </w:tcPr>
          <w:p w14:paraId="2B5AC81D" w14:textId="77777777" w:rsidR="008F740F" w:rsidRDefault="008F740F">
            <w:pPr>
              <w:jc w:val="center"/>
              <w:rPr>
                <w:rFonts w:ascii="Garamond" w:hAnsi="Garamond"/>
                <w:color w:val="000000"/>
                <w:sz w:val="24"/>
                <w:szCs w:val="24"/>
              </w:rPr>
            </w:pPr>
            <w:r>
              <w:rPr>
                <w:rFonts w:ascii="Garamond" w:hAnsi="Garamond"/>
                <w:color w:val="000000"/>
                <w:sz w:val="24"/>
                <w:szCs w:val="24"/>
              </w:rPr>
              <w:t>ZONE</w:t>
            </w:r>
          </w:p>
        </w:tc>
        <w:tc>
          <w:tcPr>
            <w:tcW w:w="3822" w:type="dxa"/>
            <w:tcBorders>
              <w:top w:val="single" w:sz="4" w:space="0" w:color="auto"/>
              <w:left w:val="single" w:sz="4" w:space="0" w:color="auto"/>
              <w:bottom w:val="single" w:sz="4" w:space="0" w:color="auto"/>
              <w:right w:val="single" w:sz="4" w:space="0" w:color="auto"/>
            </w:tcBorders>
            <w:hideMark/>
          </w:tcPr>
          <w:p w14:paraId="54BBC552" w14:textId="70DD6029" w:rsidR="008F740F" w:rsidRDefault="008F740F">
            <w:pPr>
              <w:jc w:val="center"/>
              <w:rPr>
                <w:rFonts w:ascii="Garamond" w:hAnsi="Garamond"/>
                <w:color w:val="000000"/>
                <w:sz w:val="24"/>
                <w:szCs w:val="24"/>
              </w:rPr>
            </w:pPr>
            <w:r>
              <w:rPr>
                <w:rFonts w:ascii="Garamond" w:hAnsi="Garamond"/>
                <w:color w:val="000000"/>
                <w:sz w:val="24"/>
                <w:szCs w:val="24"/>
              </w:rPr>
              <w:t>Jedinična vrijednost komunalnog doprinosa po m³ građevine (</w:t>
            </w:r>
            <w:r w:rsidR="00AA1787">
              <w:rPr>
                <w:rFonts w:ascii="Garamond" w:hAnsi="Garamond"/>
                <w:color w:val="000000"/>
                <w:sz w:val="24"/>
                <w:szCs w:val="24"/>
              </w:rPr>
              <w:t>EUR</w:t>
            </w:r>
            <w:r>
              <w:rPr>
                <w:rFonts w:ascii="Garamond" w:hAnsi="Garamond"/>
                <w:color w:val="000000"/>
                <w:sz w:val="24"/>
                <w:szCs w:val="24"/>
              </w:rPr>
              <w:t>/m³)</w:t>
            </w:r>
          </w:p>
        </w:tc>
      </w:tr>
      <w:tr w:rsidR="008F740F" w14:paraId="1801D063" w14:textId="77777777" w:rsidTr="008F740F">
        <w:tc>
          <w:tcPr>
            <w:tcW w:w="5240" w:type="dxa"/>
            <w:tcBorders>
              <w:top w:val="single" w:sz="4" w:space="0" w:color="auto"/>
              <w:left w:val="single" w:sz="4" w:space="0" w:color="auto"/>
              <w:bottom w:val="single" w:sz="4" w:space="0" w:color="auto"/>
              <w:right w:val="single" w:sz="4" w:space="0" w:color="auto"/>
            </w:tcBorders>
            <w:hideMark/>
          </w:tcPr>
          <w:p w14:paraId="4FE1A6F9" w14:textId="52EAC78B" w:rsidR="008F740F" w:rsidRDefault="008F740F" w:rsidP="008F740F">
            <w:pPr>
              <w:numPr>
                <w:ilvl w:val="0"/>
                <w:numId w:val="2"/>
              </w:numPr>
              <w:contextualSpacing/>
              <w:rPr>
                <w:rFonts w:ascii="Garamond" w:hAnsi="Garamond"/>
                <w:color w:val="000000"/>
                <w:sz w:val="24"/>
                <w:szCs w:val="24"/>
              </w:rPr>
            </w:pPr>
            <w:r>
              <w:rPr>
                <w:rFonts w:ascii="Garamond" w:hAnsi="Garamond"/>
                <w:color w:val="000000"/>
                <w:sz w:val="24"/>
                <w:szCs w:val="24"/>
              </w:rPr>
              <w:t xml:space="preserve">UPU 1, UPU 2, UPU 3, UPU 4, UPU 5, UPU 6, UPU 8, dio UPU 9 naselja Stara Baška koji ima mogućnost spajanja na </w:t>
            </w:r>
            <w:r>
              <w:rPr>
                <w:rFonts w:ascii="Garamond" w:hAnsi="Garamond"/>
                <w:sz w:val="24"/>
                <w:szCs w:val="24"/>
              </w:rPr>
              <w:t>vodoopskrbni sustav naselja Stara Baška</w:t>
            </w:r>
            <w:r>
              <w:rPr>
                <w:rFonts w:ascii="Garamond" w:hAnsi="Garamond"/>
                <w:color w:val="000000"/>
                <w:sz w:val="24"/>
                <w:szCs w:val="24"/>
              </w:rPr>
              <w:t>, UPU 10</w:t>
            </w:r>
          </w:p>
        </w:tc>
        <w:tc>
          <w:tcPr>
            <w:tcW w:w="3822" w:type="dxa"/>
            <w:tcBorders>
              <w:top w:val="single" w:sz="4" w:space="0" w:color="auto"/>
              <w:left w:val="single" w:sz="4" w:space="0" w:color="auto"/>
              <w:bottom w:val="single" w:sz="4" w:space="0" w:color="auto"/>
              <w:right w:val="single" w:sz="4" w:space="0" w:color="auto"/>
            </w:tcBorders>
            <w:hideMark/>
          </w:tcPr>
          <w:p w14:paraId="1ECF7680" w14:textId="489957F5" w:rsidR="008F740F" w:rsidRDefault="008F740F">
            <w:pPr>
              <w:jc w:val="center"/>
              <w:rPr>
                <w:rFonts w:ascii="Garamond" w:hAnsi="Garamond"/>
                <w:sz w:val="24"/>
                <w:szCs w:val="24"/>
              </w:rPr>
            </w:pPr>
            <w:r>
              <w:rPr>
                <w:rFonts w:ascii="Garamond" w:hAnsi="Garamond"/>
                <w:sz w:val="24"/>
                <w:szCs w:val="24"/>
              </w:rPr>
              <w:t>1</w:t>
            </w:r>
            <w:r w:rsidR="00601972">
              <w:rPr>
                <w:rFonts w:ascii="Garamond" w:hAnsi="Garamond"/>
                <w:sz w:val="24"/>
                <w:szCs w:val="24"/>
              </w:rPr>
              <w:t>8,35</w:t>
            </w:r>
          </w:p>
        </w:tc>
      </w:tr>
      <w:tr w:rsidR="008F740F" w14:paraId="7187E7E3" w14:textId="77777777" w:rsidTr="008F740F">
        <w:tc>
          <w:tcPr>
            <w:tcW w:w="5240" w:type="dxa"/>
            <w:tcBorders>
              <w:top w:val="single" w:sz="4" w:space="0" w:color="auto"/>
              <w:left w:val="single" w:sz="4" w:space="0" w:color="auto"/>
              <w:bottom w:val="single" w:sz="4" w:space="0" w:color="auto"/>
              <w:right w:val="single" w:sz="4" w:space="0" w:color="auto"/>
            </w:tcBorders>
            <w:hideMark/>
          </w:tcPr>
          <w:p w14:paraId="18A42F2C" w14:textId="77777777" w:rsidR="008F740F" w:rsidRDefault="008F740F" w:rsidP="008F740F">
            <w:pPr>
              <w:numPr>
                <w:ilvl w:val="0"/>
                <w:numId w:val="2"/>
              </w:numPr>
              <w:contextualSpacing/>
              <w:rPr>
                <w:rFonts w:ascii="Garamond" w:hAnsi="Garamond"/>
                <w:color w:val="000000"/>
                <w:sz w:val="24"/>
                <w:szCs w:val="24"/>
              </w:rPr>
            </w:pPr>
            <w:r>
              <w:rPr>
                <w:rFonts w:ascii="Garamond" w:hAnsi="Garamond"/>
                <w:color w:val="000000"/>
                <w:sz w:val="24"/>
                <w:szCs w:val="24"/>
              </w:rPr>
              <w:t xml:space="preserve">dio UPU 9 naselja Stara Baška koji nema mogućnost spajanja </w:t>
            </w:r>
            <w:r>
              <w:rPr>
                <w:rFonts w:ascii="Garamond" w:hAnsi="Garamond"/>
                <w:sz w:val="24"/>
                <w:szCs w:val="24"/>
              </w:rPr>
              <w:t>na vodoopskrbni sustav naselja Stara Baška (evidencija Ponikve voda d.o.o.)</w:t>
            </w:r>
          </w:p>
        </w:tc>
        <w:tc>
          <w:tcPr>
            <w:tcW w:w="3822" w:type="dxa"/>
            <w:tcBorders>
              <w:top w:val="single" w:sz="4" w:space="0" w:color="auto"/>
              <w:left w:val="single" w:sz="4" w:space="0" w:color="auto"/>
              <w:bottom w:val="single" w:sz="4" w:space="0" w:color="auto"/>
              <w:right w:val="single" w:sz="4" w:space="0" w:color="auto"/>
            </w:tcBorders>
            <w:hideMark/>
          </w:tcPr>
          <w:p w14:paraId="6DB27037" w14:textId="2AC7C2C8" w:rsidR="008F740F" w:rsidRDefault="008F740F">
            <w:pPr>
              <w:jc w:val="center"/>
              <w:rPr>
                <w:rFonts w:ascii="Garamond" w:hAnsi="Garamond"/>
                <w:sz w:val="24"/>
                <w:szCs w:val="24"/>
              </w:rPr>
            </w:pPr>
            <w:r>
              <w:rPr>
                <w:rFonts w:ascii="Garamond" w:hAnsi="Garamond"/>
                <w:sz w:val="24"/>
                <w:szCs w:val="24"/>
              </w:rPr>
              <w:t>1</w:t>
            </w:r>
            <w:r w:rsidR="001E7BC0">
              <w:rPr>
                <w:rFonts w:ascii="Garamond" w:hAnsi="Garamond"/>
                <w:sz w:val="24"/>
                <w:szCs w:val="24"/>
              </w:rPr>
              <w:t>4,68</w:t>
            </w:r>
          </w:p>
        </w:tc>
      </w:tr>
      <w:tr w:rsidR="008F740F" w14:paraId="1DE59340" w14:textId="77777777" w:rsidTr="008F740F">
        <w:tc>
          <w:tcPr>
            <w:tcW w:w="5240" w:type="dxa"/>
            <w:tcBorders>
              <w:top w:val="single" w:sz="4" w:space="0" w:color="auto"/>
              <w:left w:val="single" w:sz="4" w:space="0" w:color="auto"/>
              <w:bottom w:val="single" w:sz="4" w:space="0" w:color="auto"/>
              <w:right w:val="single" w:sz="4" w:space="0" w:color="auto"/>
            </w:tcBorders>
            <w:hideMark/>
          </w:tcPr>
          <w:p w14:paraId="05D7DDB0" w14:textId="77777777" w:rsidR="008F740F" w:rsidRDefault="008F740F" w:rsidP="008F740F">
            <w:pPr>
              <w:numPr>
                <w:ilvl w:val="0"/>
                <w:numId w:val="2"/>
              </w:numPr>
              <w:contextualSpacing/>
              <w:rPr>
                <w:rFonts w:ascii="Garamond" w:hAnsi="Garamond"/>
                <w:color w:val="000000"/>
                <w:sz w:val="24"/>
                <w:szCs w:val="24"/>
              </w:rPr>
            </w:pPr>
            <w:r>
              <w:rPr>
                <w:rFonts w:ascii="Garamond" w:hAnsi="Garamond"/>
                <w:color w:val="000000"/>
                <w:sz w:val="24"/>
                <w:szCs w:val="24"/>
              </w:rPr>
              <w:t>UPU 11</w:t>
            </w:r>
          </w:p>
        </w:tc>
        <w:tc>
          <w:tcPr>
            <w:tcW w:w="3822" w:type="dxa"/>
            <w:tcBorders>
              <w:top w:val="single" w:sz="4" w:space="0" w:color="auto"/>
              <w:left w:val="single" w:sz="4" w:space="0" w:color="auto"/>
              <w:bottom w:val="single" w:sz="4" w:space="0" w:color="auto"/>
              <w:right w:val="single" w:sz="4" w:space="0" w:color="auto"/>
            </w:tcBorders>
            <w:hideMark/>
          </w:tcPr>
          <w:p w14:paraId="456063E8" w14:textId="5B99C5AF" w:rsidR="008F740F" w:rsidRDefault="008F740F">
            <w:pPr>
              <w:jc w:val="center"/>
              <w:rPr>
                <w:rFonts w:ascii="Garamond" w:hAnsi="Garamond"/>
                <w:sz w:val="24"/>
                <w:szCs w:val="24"/>
              </w:rPr>
            </w:pPr>
            <w:r>
              <w:rPr>
                <w:rFonts w:ascii="Garamond" w:hAnsi="Garamond"/>
                <w:sz w:val="24"/>
                <w:szCs w:val="24"/>
              </w:rPr>
              <w:t>1</w:t>
            </w:r>
            <w:r w:rsidR="001E7BC0">
              <w:rPr>
                <w:rFonts w:ascii="Garamond" w:hAnsi="Garamond"/>
                <w:sz w:val="24"/>
                <w:szCs w:val="24"/>
              </w:rPr>
              <w:t>,84</w:t>
            </w:r>
          </w:p>
        </w:tc>
      </w:tr>
      <w:tr w:rsidR="008F740F" w14:paraId="22397F21" w14:textId="77777777" w:rsidTr="008F740F">
        <w:tc>
          <w:tcPr>
            <w:tcW w:w="5240" w:type="dxa"/>
            <w:tcBorders>
              <w:top w:val="single" w:sz="4" w:space="0" w:color="auto"/>
              <w:left w:val="single" w:sz="4" w:space="0" w:color="auto"/>
              <w:bottom w:val="single" w:sz="4" w:space="0" w:color="auto"/>
              <w:right w:val="single" w:sz="4" w:space="0" w:color="auto"/>
            </w:tcBorders>
          </w:tcPr>
          <w:p w14:paraId="44171F8C" w14:textId="66E63E2B" w:rsidR="008F740F" w:rsidRDefault="008F740F" w:rsidP="008F740F">
            <w:pPr>
              <w:numPr>
                <w:ilvl w:val="0"/>
                <w:numId w:val="2"/>
              </w:numPr>
              <w:contextualSpacing/>
              <w:rPr>
                <w:rFonts w:ascii="Garamond" w:hAnsi="Garamond"/>
                <w:color w:val="000000"/>
                <w:sz w:val="24"/>
                <w:szCs w:val="24"/>
              </w:rPr>
            </w:pPr>
            <w:r w:rsidRPr="00263246">
              <w:rPr>
                <w:rFonts w:ascii="Garamond" w:hAnsi="Garamond"/>
                <w:sz w:val="24"/>
                <w:szCs w:val="24"/>
              </w:rPr>
              <w:t>Izdvojena građevinska područja izvan naselja (turizam, sport, rekreacija, poslovne zone) i objekti izvan naselja</w:t>
            </w:r>
          </w:p>
        </w:tc>
        <w:tc>
          <w:tcPr>
            <w:tcW w:w="3822" w:type="dxa"/>
            <w:tcBorders>
              <w:top w:val="single" w:sz="4" w:space="0" w:color="auto"/>
              <w:left w:val="single" w:sz="4" w:space="0" w:color="auto"/>
              <w:bottom w:val="single" w:sz="4" w:space="0" w:color="auto"/>
              <w:right w:val="single" w:sz="4" w:space="0" w:color="auto"/>
            </w:tcBorders>
          </w:tcPr>
          <w:p w14:paraId="4622057E" w14:textId="4BA1BC41" w:rsidR="008F740F" w:rsidRDefault="00AA1787">
            <w:pPr>
              <w:jc w:val="center"/>
              <w:rPr>
                <w:rFonts w:ascii="Garamond" w:hAnsi="Garamond"/>
                <w:sz w:val="24"/>
                <w:szCs w:val="24"/>
              </w:rPr>
            </w:pPr>
            <w:r>
              <w:rPr>
                <w:rFonts w:ascii="Garamond" w:hAnsi="Garamond"/>
                <w:sz w:val="24"/>
                <w:szCs w:val="24"/>
              </w:rPr>
              <w:t>1</w:t>
            </w:r>
            <w:r w:rsidR="00601972">
              <w:rPr>
                <w:rFonts w:ascii="Garamond" w:hAnsi="Garamond"/>
                <w:sz w:val="24"/>
                <w:szCs w:val="24"/>
              </w:rPr>
              <w:t>8,35</w:t>
            </w:r>
          </w:p>
        </w:tc>
      </w:tr>
    </w:tbl>
    <w:p w14:paraId="3746ABE5" w14:textId="77777777" w:rsidR="00802934" w:rsidRDefault="00802934" w:rsidP="00802934">
      <w:pPr>
        <w:rPr>
          <w:rFonts w:ascii="Garamond" w:hAnsi="Garamond"/>
          <w:sz w:val="24"/>
          <w:szCs w:val="24"/>
        </w:rPr>
      </w:pPr>
    </w:p>
    <w:p w14:paraId="2D3D48AF" w14:textId="77777777" w:rsidR="00802934" w:rsidRDefault="00802934" w:rsidP="00802934">
      <w:pPr>
        <w:jc w:val="center"/>
        <w:rPr>
          <w:rFonts w:ascii="Garamond" w:hAnsi="Garamond"/>
          <w:b/>
          <w:sz w:val="24"/>
          <w:szCs w:val="24"/>
        </w:rPr>
      </w:pPr>
      <w:r w:rsidRPr="00091F1A">
        <w:rPr>
          <w:rFonts w:ascii="Garamond" w:hAnsi="Garamond"/>
          <w:b/>
          <w:sz w:val="24"/>
          <w:szCs w:val="24"/>
        </w:rPr>
        <w:t xml:space="preserve">Članak </w:t>
      </w:r>
      <w:r>
        <w:rPr>
          <w:rFonts w:ascii="Garamond" w:hAnsi="Garamond"/>
          <w:b/>
          <w:sz w:val="24"/>
          <w:szCs w:val="24"/>
        </w:rPr>
        <w:t>2</w:t>
      </w:r>
      <w:r w:rsidRPr="00091F1A">
        <w:rPr>
          <w:rFonts w:ascii="Garamond" w:hAnsi="Garamond"/>
          <w:b/>
          <w:sz w:val="24"/>
          <w:szCs w:val="24"/>
        </w:rPr>
        <w:t>.</w:t>
      </w:r>
    </w:p>
    <w:p w14:paraId="43704A1B" w14:textId="246EE56A" w:rsidR="00802934" w:rsidRDefault="00802934" w:rsidP="00802934">
      <w:pPr>
        <w:rPr>
          <w:rFonts w:ascii="Garamond" w:hAnsi="Garamond"/>
          <w:sz w:val="24"/>
          <w:szCs w:val="24"/>
        </w:rPr>
      </w:pPr>
      <w:r>
        <w:rPr>
          <w:rFonts w:ascii="Garamond" w:hAnsi="Garamond"/>
          <w:b/>
          <w:sz w:val="24"/>
          <w:szCs w:val="24"/>
        </w:rPr>
        <w:t xml:space="preserve">           </w:t>
      </w:r>
      <w:r>
        <w:rPr>
          <w:rFonts w:ascii="Garamond" w:hAnsi="Garamond"/>
          <w:sz w:val="24"/>
          <w:szCs w:val="24"/>
        </w:rPr>
        <w:t xml:space="preserve">U članku </w:t>
      </w:r>
      <w:r w:rsidR="00ED7F81">
        <w:rPr>
          <w:rFonts w:ascii="Garamond" w:hAnsi="Garamond"/>
          <w:sz w:val="24"/>
          <w:szCs w:val="24"/>
        </w:rPr>
        <w:t>6</w:t>
      </w:r>
      <w:r>
        <w:rPr>
          <w:rFonts w:ascii="Garamond" w:hAnsi="Garamond"/>
          <w:sz w:val="24"/>
          <w:szCs w:val="24"/>
        </w:rPr>
        <w:t xml:space="preserve">. </w:t>
      </w:r>
      <w:r w:rsidR="006F75E8" w:rsidRPr="001700A0">
        <w:rPr>
          <w:rFonts w:ascii="Garamond" w:hAnsi="Garamond"/>
          <w:sz w:val="24"/>
          <w:szCs w:val="24"/>
        </w:rPr>
        <w:t>umjesto teksta:“</w:t>
      </w:r>
      <w:r w:rsidR="008F396F" w:rsidRPr="001700A0">
        <w:rPr>
          <w:rFonts w:ascii="Garamond" w:hAnsi="Garamond"/>
          <w:sz w:val="24"/>
          <w:szCs w:val="24"/>
        </w:rPr>
        <w:t xml:space="preserve"> </w:t>
      </w:r>
      <w:r w:rsidR="001700A0" w:rsidRPr="001700A0">
        <w:rPr>
          <w:rFonts w:ascii="Garamond" w:hAnsi="Garamond"/>
          <w:sz w:val="24"/>
          <w:szCs w:val="24"/>
        </w:rPr>
        <w:t>30.000,00 kn“ treba biti tekst:</w:t>
      </w:r>
      <w:r w:rsidR="001700A0">
        <w:rPr>
          <w:rFonts w:ascii="Garamond" w:hAnsi="Garamond"/>
          <w:sz w:val="24"/>
          <w:szCs w:val="24"/>
        </w:rPr>
        <w:t xml:space="preserve"> „</w:t>
      </w:r>
      <w:r w:rsidR="005D0B13">
        <w:rPr>
          <w:rFonts w:ascii="Garamond" w:hAnsi="Garamond"/>
          <w:sz w:val="24"/>
          <w:szCs w:val="24"/>
        </w:rPr>
        <w:t>4</w:t>
      </w:r>
      <w:r w:rsidR="001700A0">
        <w:rPr>
          <w:rFonts w:ascii="Garamond" w:hAnsi="Garamond"/>
          <w:sz w:val="24"/>
          <w:szCs w:val="24"/>
        </w:rPr>
        <w:t>.</w:t>
      </w:r>
      <w:r w:rsidR="005D0B13">
        <w:rPr>
          <w:rFonts w:ascii="Garamond" w:hAnsi="Garamond"/>
          <w:sz w:val="24"/>
          <w:szCs w:val="24"/>
        </w:rPr>
        <w:t>000,00</w:t>
      </w:r>
      <w:r w:rsidR="001700A0">
        <w:rPr>
          <w:rFonts w:ascii="Garamond" w:hAnsi="Garamond"/>
          <w:sz w:val="24"/>
          <w:szCs w:val="24"/>
        </w:rPr>
        <w:t xml:space="preserve"> EUR“ </w:t>
      </w:r>
      <w:r w:rsidR="009E2BFC">
        <w:rPr>
          <w:rFonts w:ascii="Garamond" w:hAnsi="Garamond"/>
          <w:sz w:val="24"/>
          <w:szCs w:val="24"/>
        </w:rPr>
        <w:t xml:space="preserve">, umjesto teksta: </w:t>
      </w:r>
      <w:r w:rsidR="009E2BFC" w:rsidRPr="009E2BFC">
        <w:rPr>
          <w:rFonts w:ascii="Garamond" w:hAnsi="Garamond"/>
          <w:sz w:val="24"/>
          <w:szCs w:val="24"/>
        </w:rPr>
        <w:t xml:space="preserve">„100.000,00 kn“ </w:t>
      </w:r>
      <w:r w:rsidR="001700A0">
        <w:rPr>
          <w:rFonts w:ascii="Garamond" w:hAnsi="Garamond"/>
          <w:sz w:val="24"/>
          <w:szCs w:val="24"/>
        </w:rPr>
        <w:t xml:space="preserve"> </w:t>
      </w:r>
      <w:r w:rsidR="00C35426">
        <w:rPr>
          <w:rFonts w:ascii="Garamond" w:hAnsi="Garamond"/>
          <w:sz w:val="24"/>
          <w:szCs w:val="24"/>
        </w:rPr>
        <w:t xml:space="preserve">treba biti tekst: </w:t>
      </w:r>
      <w:r w:rsidR="001700A0">
        <w:rPr>
          <w:rFonts w:ascii="Garamond" w:hAnsi="Garamond"/>
          <w:sz w:val="24"/>
          <w:szCs w:val="24"/>
        </w:rPr>
        <w:t>„</w:t>
      </w:r>
      <w:r w:rsidR="009E2BFC">
        <w:rPr>
          <w:rFonts w:ascii="Garamond" w:hAnsi="Garamond"/>
          <w:sz w:val="24"/>
          <w:szCs w:val="24"/>
        </w:rPr>
        <w:t>13.</w:t>
      </w:r>
      <w:r w:rsidR="005D0B13">
        <w:rPr>
          <w:rFonts w:ascii="Garamond" w:hAnsi="Garamond"/>
          <w:sz w:val="24"/>
          <w:szCs w:val="24"/>
        </w:rPr>
        <w:t>500</w:t>
      </w:r>
      <w:r w:rsidR="009E2BFC">
        <w:rPr>
          <w:rFonts w:ascii="Garamond" w:hAnsi="Garamond"/>
          <w:sz w:val="24"/>
          <w:szCs w:val="24"/>
        </w:rPr>
        <w:t>,</w:t>
      </w:r>
      <w:r w:rsidR="005D0B13">
        <w:rPr>
          <w:rFonts w:ascii="Garamond" w:hAnsi="Garamond"/>
          <w:sz w:val="24"/>
          <w:szCs w:val="24"/>
        </w:rPr>
        <w:t>00</w:t>
      </w:r>
      <w:r w:rsidR="009E2BFC">
        <w:rPr>
          <w:rFonts w:ascii="Garamond" w:hAnsi="Garamond"/>
          <w:sz w:val="24"/>
          <w:szCs w:val="24"/>
        </w:rPr>
        <w:t xml:space="preserve"> EUR“</w:t>
      </w:r>
      <w:r w:rsidR="00C35426">
        <w:rPr>
          <w:rFonts w:ascii="Garamond" w:hAnsi="Garamond"/>
          <w:sz w:val="24"/>
          <w:szCs w:val="24"/>
        </w:rPr>
        <w:t xml:space="preserve"> i umjesto teksta: „</w:t>
      </w:r>
      <w:r w:rsidR="00C35426" w:rsidRPr="00C35426">
        <w:rPr>
          <w:rFonts w:ascii="Garamond" w:hAnsi="Garamond"/>
          <w:sz w:val="24"/>
          <w:szCs w:val="24"/>
        </w:rPr>
        <w:t>50.000,00 kn</w:t>
      </w:r>
      <w:r w:rsidR="00C35426">
        <w:rPr>
          <w:rFonts w:ascii="Garamond" w:hAnsi="Garamond"/>
          <w:sz w:val="24"/>
          <w:szCs w:val="24"/>
        </w:rPr>
        <w:t xml:space="preserve">“ treba </w:t>
      </w:r>
      <w:r w:rsidR="00D903F4">
        <w:rPr>
          <w:rFonts w:ascii="Garamond" w:hAnsi="Garamond"/>
          <w:sz w:val="24"/>
          <w:szCs w:val="24"/>
        </w:rPr>
        <w:t>biti tekst: „6.</w:t>
      </w:r>
      <w:r w:rsidR="005D0B13">
        <w:rPr>
          <w:rFonts w:ascii="Garamond" w:hAnsi="Garamond"/>
          <w:sz w:val="24"/>
          <w:szCs w:val="24"/>
        </w:rPr>
        <w:t>000,00</w:t>
      </w:r>
      <w:r w:rsidR="00D903F4">
        <w:rPr>
          <w:rFonts w:ascii="Garamond" w:hAnsi="Garamond"/>
          <w:sz w:val="24"/>
          <w:szCs w:val="24"/>
        </w:rPr>
        <w:t xml:space="preserve"> EUR“.</w:t>
      </w:r>
    </w:p>
    <w:p w14:paraId="118D8106" w14:textId="77777777" w:rsidR="00A333E9" w:rsidRPr="00D903F4" w:rsidRDefault="00A333E9" w:rsidP="00802934">
      <w:pPr>
        <w:rPr>
          <w:rFonts w:ascii="Garamond" w:hAnsi="Garamond"/>
          <w:sz w:val="24"/>
          <w:szCs w:val="24"/>
        </w:rPr>
      </w:pPr>
    </w:p>
    <w:p w14:paraId="51B2486C" w14:textId="77777777" w:rsidR="00D903F4" w:rsidRDefault="00802934" w:rsidP="00D903F4">
      <w:pPr>
        <w:jc w:val="center"/>
        <w:rPr>
          <w:rFonts w:ascii="Garamond" w:hAnsi="Garamond"/>
          <w:b/>
          <w:sz w:val="24"/>
          <w:szCs w:val="24"/>
        </w:rPr>
      </w:pPr>
      <w:r w:rsidRPr="00091F1A">
        <w:rPr>
          <w:rFonts w:ascii="Garamond" w:hAnsi="Garamond"/>
          <w:b/>
          <w:sz w:val="24"/>
          <w:szCs w:val="24"/>
        </w:rPr>
        <w:t xml:space="preserve">Članak </w:t>
      </w:r>
      <w:r>
        <w:rPr>
          <w:rFonts w:ascii="Garamond" w:hAnsi="Garamond"/>
          <w:b/>
          <w:sz w:val="24"/>
          <w:szCs w:val="24"/>
        </w:rPr>
        <w:t>3</w:t>
      </w:r>
      <w:r w:rsidRPr="00091F1A">
        <w:rPr>
          <w:rFonts w:ascii="Garamond" w:hAnsi="Garamond"/>
          <w:b/>
          <w:sz w:val="24"/>
          <w:szCs w:val="24"/>
        </w:rPr>
        <w:t>.</w:t>
      </w:r>
    </w:p>
    <w:p w14:paraId="23BF911A" w14:textId="7DBAB810" w:rsidR="00D903F4" w:rsidRPr="00D903F4" w:rsidRDefault="00D903F4" w:rsidP="00D903F4">
      <w:pPr>
        <w:rPr>
          <w:rFonts w:ascii="Garamond" w:hAnsi="Garamond"/>
          <w:bCs/>
          <w:sz w:val="24"/>
          <w:szCs w:val="24"/>
        </w:rPr>
      </w:pPr>
      <w:r>
        <w:rPr>
          <w:rFonts w:ascii="Garamond" w:hAnsi="Garamond"/>
          <w:b/>
          <w:sz w:val="24"/>
          <w:szCs w:val="24"/>
        </w:rPr>
        <w:t xml:space="preserve">           </w:t>
      </w:r>
      <w:r w:rsidRPr="00D903F4">
        <w:rPr>
          <w:rFonts w:ascii="Garamond" w:hAnsi="Garamond"/>
          <w:bCs/>
          <w:sz w:val="24"/>
          <w:szCs w:val="24"/>
        </w:rPr>
        <w:t>U članku 7.</w:t>
      </w:r>
      <w:r w:rsidR="00324FCD">
        <w:rPr>
          <w:rFonts w:ascii="Garamond" w:hAnsi="Garamond"/>
          <w:bCs/>
          <w:sz w:val="24"/>
          <w:szCs w:val="24"/>
        </w:rPr>
        <w:t xml:space="preserve">, stavku 1. točki 1. </w:t>
      </w:r>
      <w:r w:rsidRPr="00D903F4">
        <w:rPr>
          <w:rFonts w:ascii="Garamond" w:hAnsi="Garamond"/>
          <w:bCs/>
          <w:sz w:val="24"/>
          <w:szCs w:val="24"/>
        </w:rPr>
        <w:t>umjesto teksta:“ 30</w:t>
      </w:r>
      <w:r w:rsidR="0009677C">
        <w:rPr>
          <w:rFonts w:ascii="Garamond" w:hAnsi="Garamond"/>
          <w:bCs/>
          <w:sz w:val="24"/>
          <w:szCs w:val="24"/>
        </w:rPr>
        <w:t>0</w:t>
      </w:r>
      <w:r w:rsidRPr="00D903F4">
        <w:rPr>
          <w:rFonts w:ascii="Garamond" w:hAnsi="Garamond"/>
          <w:bCs/>
          <w:sz w:val="24"/>
          <w:szCs w:val="24"/>
        </w:rPr>
        <w:t>.000,00 kn“ treba biti tekst: „</w:t>
      </w:r>
      <w:r w:rsidR="005D0B13">
        <w:rPr>
          <w:rFonts w:ascii="Garamond" w:hAnsi="Garamond"/>
          <w:bCs/>
          <w:sz w:val="24"/>
          <w:szCs w:val="24"/>
        </w:rPr>
        <w:t>40.000,00</w:t>
      </w:r>
      <w:r w:rsidR="0009677C">
        <w:rPr>
          <w:rFonts w:ascii="Garamond" w:hAnsi="Garamond"/>
          <w:bCs/>
          <w:sz w:val="24"/>
          <w:szCs w:val="24"/>
        </w:rPr>
        <w:t xml:space="preserve"> </w:t>
      </w:r>
      <w:r w:rsidRPr="00D903F4">
        <w:rPr>
          <w:rFonts w:ascii="Garamond" w:hAnsi="Garamond"/>
          <w:bCs/>
          <w:sz w:val="24"/>
          <w:szCs w:val="24"/>
        </w:rPr>
        <w:t>EUR“</w:t>
      </w:r>
      <w:r w:rsidR="0009677C">
        <w:rPr>
          <w:rFonts w:ascii="Garamond" w:hAnsi="Garamond"/>
          <w:bCs/>
          <w:sz w:val="24"/>
          <w:szCs w:val="24"/>
        </w:rPr>
        <w:t>.</w:t>
      </w:r>
    </w:p>
    <w:p w14:paraId="1A5365D3" w14:textId="3541C469" w:rsidR="00D903F4" w:rsidRDefault="00D903F4" w:rsidP="00D903F4">
      <w:pPr>
        <w:rPr>
          <w:rFonts w:ascii="Garamond" w:hAnsi="Garamond"/>
          <w:b/>
          <w:sz w:val="24"/>
          <w:szCs w:val="24"/>
        </w:rPr>
      </w:pPr>
    </w:p>
    <w:p w14:paraId="3718B0F5" w14:textId="5EDBAA91" w:rsidR="001E7BC0" w:rsidRDefault="001E7BC0" w:rsidP="00B64B72">
      <w:pPr>
        <w:jc w:val="center"/>
        <w:rPr>
          <w:rFonts w:ascii="Garamond" w:hAnsi="Garamond"/>
          <w:b/>
          <w:sz w:val="24"/>
          <w:szCs w:val="24"/>
        </w:rPr>
      </w:pPr>
      <w:r>
        <w:rPr>
          <w:rFonts w:ascii="Garamond" w:hAnsi="Garamond"/>
          <w:b/>
          <w:sz w:val="24"/>
          <w:szCs w:val="24"/>
        </w:rPr>
        <w:t>Članak 4.</w:t>
      </w:r>
    </w:p>
    <w:p w14:paraId="61092394" w14:textId="55CA8919" w:rsidR="009D6E0B" w:rsidRDefault="00B64B72" w:rsidP="00B64B72">
      <w:pPr>
        <w:rPr>
          <w:rFonts w:ascii="Garamond" w:hAnsi="Garamond"/>
          <w:bCs/>
          <w:sz w:val="24"/>
          <w:szCs w:val="24"/>
        </w:rPr>
      </w:pPr>
      <w:r>
        <w:rPr>
          <w:rFonts w:ascii="Garamond" w:hAnsi="Garamond"/>
          <w:b/>
          <w:sz w:val="24"/>
          <w:szCs w:val="24"/>
        </w:rPr>
        <w:t xml:space="preserve">           </w:t>
      </w:r>
      <w:r w:rsidR="009D6E0B">
        <w:rPr>
          <w:rFonts w:ascii="Garamond" w:hAnsi="Garamond"/>
          <w:bCs/>
          <w:sz w:val="24"/>
          <w:szCs w:val="24"/>
        </w:rPr>
        <w:t>Č</w:t>
      </w:r>
      <w:r w:rsidRPr="00B64B72">
        <w:rPr>
          <w:rFonts w:ascii="Garamond" w:hAnsi="Garamond"/>
          <w:bCs/>
          <w:sz w:val="24"/>
          <w:szCs w:val="24"/>
        </w:rPr>
        <w:t>lan</w:t>
      </w:r>
      <w:r w:rsidR="009D6E0B">
        <w:rPr>
          <w:rFonts w:ascii="Garamond" w:hAnsi="Garamond"/>
          <w:bCs/>
          <w:sz w:val="24"/>
          <w:szCs w:val="24"/>
        </w:rPr>
        <w:t>a</w:t>
      </w:r>
      <w:r w:rsidRPr="00B64B72">
        <w:rPr>
          <w:rFonts w:ascii="Garamond" w:hAnsi="Garamond"/>
          <w:bCs/>
          <w:sz w:val="24"/>
          <w:szCs w:val="24"/>
        </w:rPr>
        <w:t>k 9.</w:t>
      </w:r>
      <w:r w:rsidR="009D6E0B">
        <w:rPr>
          <w:rFonts w:ascii="Garamond" w:hAnsi="Garamond"/>
          <w:bCs/>
          <w:sz w:val="24"/>
          <w:szCs w:val="24"/>
        </w:rPr>
        <w:t xml:space="preserve"> mijenja se i sada glasi:</w:t>
      </w:r>
    </w:p>
    <w:p w14:paraId="03445E7D" w14:textId="7F342DD4" w:rsidR="00136D3E" w:rsidRDefault="00547657" w:rsidP="00B64B72">
      <w:pPr>
        <w:rPr>
          <w:rFonts w:ascii="Garamond" w:hAnsi="Garamond"/>
          <w:bCs/>
          <w:sz w:val="24"/>
          <w:szCs w:val="24"/>
        </w:rPr>
      </w:pPr>
      <w:r>
        <w:rPr>
          <w:rFonts w:ascii="Garamond" w:hAnsi="Garamond"/>
          <w:bCs/>
          <w:sz w:val="24"/>
          <w:szCs w:val="24"/>
        </w:rPr>
        <w:t xml:space="preserve">        </w:t>
      </w:r>
      <w:r w:rsidR="009D6E0B">
        <w:rPr>
          <w:rFonts w:ascii="Garamond" w:hAnsi="Garamond"/>
          <w:bCs/>
          <w:sz w:val="24"/>
          <w:szCs w:val="24"/>
        </w:rPr>
        <w:t>„</w:t>
      </w:r>
      <w:r w:rsidR="009D6E0B" w:rsidRPr="009D6E0B">
        <w:rPr>
          <w:rFonts w:ascii="Garamond" w:hAnsi="Garamond"/>
          <w:bCs/>
          <w:sz w:val="24"/>
          <w:szCs w:val="24"/>
        </w:rPr>
        <w:t xml:space="preserve">Općina Punat oslobodit će djelomično obveze plaćanja komunalnog doprinosa </w:t>
      </w:r>
      <w:r w:rsidR="001E4B2F">
        <w:rPr>
          <w:rFonts w:ascii="Garamond" w:hAnsi="Garamond"/>
          <w:bCs/>
          <w:sz w:val="24"/>
          <w:szCs w:val="24"/>
        </w:rPr>
        <w:t>fizičku osobu</w:t>
      </w:r>
      <w:r w:rsidR="009D6E0B" w:rsidRPr="009D6E0B">
        <w:rPr>
          <w:rFonts w:ascii="Garamond" w:hAnsi="Garamond"/>
          <w:bCs/>
          <w:sz w:val="24"/>
          <w:szCs w:val="24"/>
        </w:rPr>
        <w:t xml:space="preserve"> koj</w:t>
      </w:r>
      <w:r w:rsidR="00A7189B">
        <w:rPr>
          <w:rFonts w:ascii="Garamond" w:hAnsi="Garamond"/>
          <w:bCs/>
          <w:sz w:val="24"/>
          <w:szCs w:val="24"/>
        </w:rPr>
        <w:t>a</w:t>
      </w:r>
      <w:r w:rsidR="009D6E0B" w:rsidRPr="009D6E0B">
        <w:rPr>
          <w:rFonts w:ascii="Garamond" w:hAnsi="Garamond"/>
          <w:bCs/>
          <w:sz w:val="24"/>
          <w:szCs w:val="24"/>
        </w:rPr>
        <w:t xml:space="preserve"> novom gradnjom objekta na vlastitom građevinskom zemljištu rješava svoje stambene potrebe</w:t>
      </w:r>
      <w:r w:rsidR="006E56F3">
        <w:rPr>
          <w:rFonts w:ascii="Garamond" w:hAnsi="Garamond"/>
          <w:bCs/>
          <w:sz w:val="24"/>
          <w:szCs w:val="24"/>
        </w:rPr>
        <w:t xml:space="preserve"> </w:t>
      </w:r>
      <w:r w:rsidR="009D6E0B" w:rsidRPr="009D6E0B">
        <w:rPr>
          <w:rFonts w:ascii="Garamond" w:hAnsi="Garamond"/>
          <w:bCs/>
          <w:sz w:val="24"/>
          <w:szCs w:val="24"/>
        </w:rPr>
        <w:t xml:space="preserve">uz </w:t>
      </w:r>
      <w:r w:rsidR="00136D3E">
        <w:rPr>
          <w:rFonts w:ascii="Garamond" w:hAnsi="Garamond"/>
          <w:bCs/>
          <w:sz w:val="24"/>
          <w:szCs w:val="24"/>
        </w:rPr>
        <w:t xml:space="preserve">sljedeće </w:t>
      </w:r>
      <w:r w:rsidR="009D6E0B" w:rsidRPr="009D6E0B">
        <w:rPr>
          <w:rFonts w:ascii="Garamond" w:hAnsi="Garamond"/>
          <w:bCs/>
          <w:sz w:val="24"/>
          <w:szCs w:val="24"/>
        </w:rPr>
        <w:t>uvjet</w:t>
      </w:r>
      <w:r w:rsidR="00136D3E">
        <w:rPr>
          <w:rFonts w:ascii="Garamond" w:hAnsi="Garamond"/>
          <w:bCs/>
          <w:sz w:val="24"/>
          <w:szCs w:val="24"/>
        </w:rPr>
        <w:t>e:</w:t>
      </w:r>
    </w:p>
    <w:p w14:paraId="0E54BBE7" w14:textId="6E8EBE55" w:rsidR="00136D3E" w:rsidRDefault="00136D3E" w:rsidP="00B64B72">
      <w:pPr>
        <w:rPr>
          <w:rFonts w:ascii="Garamond" w:hAnsi="Garamond"/>
          <w:bCs/>
          <w:sz w:val="24"/>
          <w:szCs w:val="24"/>
        </w:rPr>
      </w:pPr>
      <w:r>
        <w:rPr>
          <w:rFonts w:ascii="Garamond" w:hAnsi="Garamond"/>
          <w:bCs/>
          <w:sz w:val="24"/>
          <w:szCs w:val="24"/>
        </w:rPr>
        <w:t>-</w:t>
      </w:r>
      <w:r w:rsidR="009D6E0B" w:rsidRPr="009D6E0B">
        <w:rPr>
          <w:rFonts w:ascii="Garamond" w:hAnsi="Garamond"/>
          <w:bCs/>
          <w:sz w:val="24"/>
          <w:szCs w:val="24"/>
        </w:rPr>
        <w:t xml:space="preserve"> </w:t>
      </w:r>
      <w:r w:rsidR="00A333E9">
        <w:rPr>
          <w:rFonts w:ascii="Garamond" w:hAnsi="Garamond"/>
          <w:bCs/>
          <w:sz w:val="24"/>
          <w:szCs w:val="24"/>
        </w:rPr>
        <w:t xml:space="preserve">da </w:t>
      </w:r>
      <w:r w:rsidR="009D6E0B" w:rsidRPr="009D6E0B">
        <w:rPr>
          <w:rFonts w:ascii="Garamond" w:hAnsi="Garamond"/>
          <w:bCs/>
          <w:sz w:val="24"/>
          <w:szCs w:val="24"/>
        </w:rPr>
        <w:t xml:space="preserve">ima prijavljeno prebivalište na području Općine Punat neprekidno 10 ili više godina, </w:t>
      </w:r>
    </w:p>
    <w:p w14:paraId="3DE95869" w14:textId="6F799E01" w:rsidR="00136D3E" w:rsidRDefault="00136D3E" w:rsidP="00B64B72">
      <w:pPr>
        <w:rPr>
          <w:rFonts w:ascii="Garamond" w:hAnsi="Garamond"/>
          <w:bCs/>
          <w:sz w:val="24"/>
          <w:szCs w:val="24"/>
        </w:rPr>
      </w:pPr>
      <w:r>
        <w:rPr>
          <w:rFonts w:ascii="Garamond" w:hAnsi="Garamond"/>
          <w:bCs/>
          <w:sz w:val="24"/>
          <w:szCs w:val="24"/>
        </w:rPr>
        <w:t xml:space="preserve">- </w:t>
      </w:r>
      <w:r w:rsidR="00A333E9">
        <w:rPr>
          <w:rFonts w:ascii="Garamond" w:hAnsi="Garamond"/>
          <w:bCs/>
          <w:sz w:val="24"/>
          <w:szCs w:val="24"/>
        </w:rPr>
        <w:t xml:space="preserve">da </w:t>
      </w:r>
      <w:r w:rsidR="009D6E0B" w:rsidRPr="009D6E0B">
        <w:rPr>
          <w:rFonts w:ascii="Garamond" w:hAnsi="Garamond"/>
          <w:bCs/>
          <w:sz w:val="24"/>
          <w:szCs w:val="24"/>
        </w:rPr>
        <w:t>gradi stambeni objekt,</w:t>
      </w:r>
    </w:p>
    <w:p w14:paraId="14F620F4" w14:textId="3D1B86A7" w:rsidR="00136D3E" w:rsidRDefault="00136D3E" w:rsidP="00B64B72">
      <w:pPr>
        <w:rPr>
          <w:rFonts w:ascii="Garamond" w:hAnsi="Garamond"/>
          <w:bCs/>
          <w:sz w:val="24"/>
          <w:szCs w:val="24"/>
        </w:rPr>
      </w:pPr>
      <w:r>
        <w:rPr>
          <w:rFonts w:ascii="Garamond" w:hAnsi="Garamond"/>
          <w:bCs/>
          <w:sz w:val="24"/>
          <w:szCs w:val="24"/>
        </w:rPr>
        <w:lastRenderedPageBreak/>
        <w:t>-</w:t>
      </w:r>
      <w:r w:rsidR="009D6E0B" w:rsidRPr="009D6E0B">
        <w:rPr>
          <w:rFonts w:ascii="Garamond" w:hAnsi="Garamond"/>
          <w:bCs/>
          <w:sz w:val="24"/>
          <w:szCs w:val="24"/>
        </w:rPr>
        <w:t xml:space="preserve"> </w:t>
      </w:r>
      <w:r w:rsidR="00A333E9">
        <w:rPr>
          <w:rFonts w:ascii="Garamond" w:hAnsi="Garamond"/>
          <w:bCs/>
          <w:sz w:val="24"/>
          <w:szCs w:val="24"/>
        </w:rPr>
        <w:t xml:space="preserve">da </w:t>
      </w:r>
      <w:r w:rsidR="009D6E0B" w:rsidRPr="009D6E0B">
        <w:rPr>
          <w:rFonts w:ascii="Garamond" w:hAnsi="Garamond"/>
          <w:bCs/>
          <w:sz w:val="24"/>
          <w:szCs w:val="24"/>
        </w:rPr>
        <w:t>nema u vlasništvu drugu kuću ili stan</w:t>
      </w:r>
      <w:r w:rsidR="00010D26">
        <w:rPr>
          <w:rFonts w:ascii="Garamond" w:hAnsi="Garamond"/>
          <w:bCs/>
          <w:sz w:val="24"/>
          <w:szCs w:val="24"/>
        </w:rPr>
        <w:t>,</w:t>
      </w:r>
      <w:r w:rsidR="009D6E0B">
        <w:rPr>
          <w:rFonts w:ascii="Garamond" w:hAnsi="Garamond"/>
          <w:bCs/>
          <w:sz w:val="24"/>
          <w:szCs w:val="24"/>
        </w:rPr>
        <w:t xml:space="preserve"> </w:t>
      </w:r>
    </w:p>
    <w:p w14:paraId="548CCF8C" w14:textId="17A43C28" w:rsidR="00843FE5" w:rsidRDefault="00136D3E" w:rsidP="00B64B72">
      <w:pPr>
        <w:rPr>
          <w:rFonts w:ascii="Garamond" w:hAnsi="Garamond"/>
          <w:bCs/>
          <w:sz w:val="24"/>
          <w:szCs w:val="24"/>
        </w:rPr>
      </w:pPr>
      <w:r>
        <w:rPr>
          <w:rFonts w:ascii="Garamond" w:hAnsi="Garamond"/>
          <w:bCs/>
          <w:sz w:val="24"/>
          <w:szCs w:val="24"/>
        </w:rPr>
        <w:t>-</w:t>
      </w:r>
      <w:r w:rsidR="00BA0A7E">
        <w:rPr>
          <w:rFonts w:ascii="Garamond" w:hAnsi="Garamond"/>
          <w:bCs/>
          <w:sz w:val="24"/>
          <w:szCs w:val="24"/>
        </w:rPr>
        <w:t xml:space="preserve"> </w:t>
      </w:r>
      <w:r w:rsidR="00A333E9">
        <w:rPr>
          <w:rFonts w:ascii="Garamond" w:hAnsi="Garamond"/>
          <w:bCs/>
          <w:sz w:val="24"/>
          <w:szCs w:val="24"/>
        </w:rPr>
        <w:t xml:space="preserve">da </w:t>
      </w:r>
      <w:r w:rsidR="00BA0A7E">
        <w:rPr>
          <w:rFonts w:ascii="Garamond" w:hAnsi="Garamond"/>
          <w:bCs/>
          <w:sz w:val="24"/>
          <w:szCs w:val="24"/>
        </w:rPr>
        <w:t>nije u</w:t>
      </w:r>
      <w:r w:rsidR="009D6E0B">
        <w:rPr>
          <w:rFonts w:ascii="Garamond" w:hAnsi="Garamond"/>
          <w:bCs/>
          <w:sz w:val="24"/>
          <w:szCs w:val="24"/>
        </w:rPr>
        <w:t xml:space="preserve"> posljedn</w:t>
      </w:r>
      <w:r w:rsidR="00324FCD">
        <w:rPr>
          <w:rFonts w:ascii="Garamond" w:hAnsi="Garamond"/>
          <w:bCs/>
          <w:sz w:val="24"/>
          <w:szCs w:val="24"/>
        </w:rPr>
        <w:t>j</w:t>
      </w:r>
      <w:r w:rsidR="009D6E0B">
        <w:rPr>
          <w:rFonts w:ascii="Garamond" w:hAnsi="Garamond"/>
          <w:bCs/>
          <w:sz w:val="24"/>
          <w:szCs w:val="24"/>
        </w:rPr>
        <w:t xml:space="preserve">ih 5 godina </w:t>
      </w:r>
      <w:r w:rsidR="00BA0A7E">
        <w:rPr>
          <w:rFonts w:ascii="Garamond" w:hAnsi="Garamond"/>
          <w:bCs/>
          <w:sz w:val="24"/>
          <w:szCs w:val="24"/>
        </w:rPr>
        <w:t>otuđio</w:t>
      </w:r>
      <w:r w:rsidR="004A4D79">
        <w:rPr>
          <w:rFonts w:ascii="Garamond" w:hAnsi="Garamond"/>
          <w:bCs/>
          <w:sz w:val="24"/>
          <w:szCs w:val="24"/>
        </w:rPr>
        <w:t xml:space="preserve"> iz svojeg vlasništa drugu </w:t>
      </w:r>
      <w:r w:rsidR="00324FCD">
        <w:rPr>
          <w:rFonts w:ascii="Garamond" w:hAnsi="Garamond"/>
          <w:bCs/>
          <w:sz w:val="24"/>
          <w:szCs w:val="24"/>
        </w:rPr>
        <w:t>nekretninu pogodnu za stanovanje.</w:t>
      </w:r>
    </w:p>
    <w:p w14:paraId="44773743" w14:textId="12A4771E" w:rsidR="001B28DA" w:rsidRDefault="001B28DA" w:rsidP="00B64B72">
      <w:pPr>
        <w:rPr>
          <w:rFonts w:ascii="Garamond" w:hAnsi="Garamond"/>
          <w:bCs/>
          <w:sz w:val="24"/>
          <w:szCs w:val="24"/>
        </w:rPr>
      </w:pPr>
    </w:p>
    <w:p w14:paraId="7A0E6EFB" w14:textId="07F1D67F" w:rsidR="00324FCD" w:rsidRDefault="00324FCD" w:rsidP="00A43E9C">
      <w:pPr>
        <w:ind w:firstLine="720"/>
        <w:rPr>
          <w:rFonts w:ascii="Garamond" w:hAnsi="Garamond"/>
          <w:bCs/>
          <w:sz w:val="24"/>
          <w:szCs w:val="24"/>
        </w:rPr>
      </w:pPr>
      <w:r>
        <w:rPr>
          <w:rFonts w:ascii="Garamond" w:hAnsi="Garamond"/>
          <w:bCs/>
          <w:sz w:val="24"/>
          <w:szCs w:val="24"/>
        </w:rPr>
        <w:t xml:space="preserve">Komunalni doprinos </w:t>
      </w:r>
      <w:r w:rsidR="00A43E9C">
        <w:rPr>
          <w:rFonts w:ascii="Garamond" w:hAnsi="Garamond"/>
          <w:bCs/>
          <w:sz w:val="24"/>
          <w:szCs w:val="24"/>
        </w:rPr>
        <w:t xml:space="preserve">iz stavka 1. ovog članka </w:t>
      </w:r>
      <w:r>
        <w:rPr>
          <w:rFonts w:ascii="Garamond" w:hAnsi="Garamond"/>
          <w:bCs/>
          <w:sz w:val="24"/>
          <w:szCs w:val="24"/>
        </w:rPr>
        <w:t>iznosi 25% iznosa propisanog člankom 4. ove Odluke</w:t>
      </w:r>
      <w:r w:rsidR="00A43E9C">
        <w:rPr>
          <w:rFonts w:ascii="Garamond" w:hAnsi="Garamond"/>
          <w:bCs/>
          <w:sz w:val="24"/>
          <w:szCs w:val="24"/>
        </w:rPr>
        <w:t xml:space="preserve"> za stambeni objekt do 700 m³</w:t>
      </w:r>
      <w:r w:rsidR="00D21AA8">
        <w:rPr>
          <w:rFonts w:ascii="Garamond" w:hAnsi="Garamond"/>
          <w:bCs/>
          <w:sz w:val="24"/>
          <w:szCs w:val="24"/>
        </w:rPr>
        <w:t>, a za preostali dio iznosi 100% iznosa iz članka 4. ove Odluke.</w:t>
      </w:r>
    </w:p>
    <w:p w14:paraId="67157ED3" w14:textId="77777777" w:rsidR="00A43E9C" w:rsidRDefault="00A43E9C" w:rsidP="00A43E9C">
      <w:pPr>
        <w:ind w:firstLine="720"/>
        <w:rPr>
          <w:rFonts w:ascii="Garamond" w:hAnsi="Garamond"/>
          <w:bCs/>
          <w:sz w:val="24"/>
          <w:szCs w:val="24"/>
        </w:rPr>
      </w:pPr>
    </w:p>
    <w:p w14:paraId="772BDABF" w14:textId="77777777" w:rsidR="00547657" w:rsidRPr="00547657" w:rsidRDefault="00972094" w:rsidP="00547657">
      <w:pPr>
        <w:rPr>
          <w:rFonts w:ascii="Garamond" w:hAnsi="Garamond"/>
          <w:sz w:val="24"/>
          <w:szCs w:val="24"/>
        </w:rPr>
      </w:pPr>
      <w:r>
        <w:rPr>
          <w:rFonts w:ascii="Garamond" w:hAnsi="Garamond"/>
          <w:bCs/>
          <w:sz w:val="24"/>
          <w:szCs w:val="24"/>
        </w:rPr>
        <w:t xml:space="preserve">           </w:t>
      </w:r>
      <w:r w:rsidR="00547657" w:rsidRPr="00547657">
        <w:rPr>
          <w:rFonts w:ascii="Garamond" w:hAnsi="Garamond"/>
          <w:sz w:val="24"/>
          <w:szCs w:val="24"/>
        </w:rPr>
        <w:t>Osobe iz stavka 1. ovog članka, ukoliko su hrvatski branitelji iz Domovinskog rata, kod utvrđivanja komunalnog doprinosa imaju pravo na dodatno oslobađanje od plaćanja komunalnog doprinosa ovisno o broju provedenih dana na ratištu za gradnju novog objekta ili ozakonjenje stambenog objekta do 700 m</w:t>
      </w:r>
      <w:r w:rsidR="00547657" w:rsidRPr="00547657">
        <w:rPr>
          <w:rFonts w:ascii="Garamond" w:hAnsi="Garamond"/>
          <w:sz w:val="24"/>
          <w:szCs w:val="24"/>
          <w:vertAlign w:val="superscript"/>
        </w:rPr>
        <w:t>3</w:t>
      </w:r>
      <w:r w:rsidR="00547657" w:rsidRPr="00547657">
        <w:rPr>
          <w:rFonts w:ascii="Garamond" w:hAnsi="Garamond"/>
          <w:sz w:val="24"/>
          <w:szCs w:val="24"/>
        </w:rPr>
        <w:t xml:space="preserve"> obujma građevine i to prema sljedećim kriterijima:</w:t>
      </w:r>
    </w:p>
    <w:p w14:paraId="6873C7D9" w14:textId="77777777" w:rsidR="00547657" w:rsidRPr="00547657" w:rsidRDefault="00547657" w:rsidP="00547657">
      <w:pPr>
        <w:rPr>
          <w:rFonts w:ascii="Garamond" w:hAnsi="Garamond"/>
          <w:sz w:val="24"/>
          <w:szCs w:val="24"/>
        </w:rPr>
      </w:pPr>
    </w:p>
    <w:tbl>
      <w:tblPr>
        <w:tblStyle w:val="TableGrid"/>
        <w:tblW w:w="9067" w:type="dxa"/>
        <w:tblInd w:w="0" w:type="dxa"/>
        <w:tblLook w:val="04A0" w:firstRow="1" w:lastRow="0" w:firstColumn="1" w:lastColumn="0" w:noHBand="0" w:noVBand="1"/>
      </w:tblPr>
      <w:tblGrid>
        <w:gridCol w:w="3681"/>
        <w:gridCol w:w="5386"/>
      </w:tblGrid>
      <w:tr w:rsidR="00547657" w:rsidRPr="00547657" w14:paraId="7128FB14" w14:textId="77777777" w:rsidTr="002E3135">
        <w:tc>
          <w:tcPr>
            <w:tcW w:w="3681" w:type="dxa"/>
          </w:tcPr>
          <w:p w14:paraId="3CC6B06A" w14:textId="77777777" w:rsidR="00547657" w:rsidRPr="00547657" w:rsidRDefault="00547657" w:rsidP="00547657">
            <w:pPr>
              <w:jc w:val="center"/>
              <w:rPr>
                <w:rFonts w:ascii="Garamond" w:hAnsi="Garamond"/>
                <w:b/>
                <w:sz w:val="24"/>
                <w:szCs w:val="24"/>
              </w:rPr>
            </w:pPr>
            <w:r w:rsidRPr="00547657">
              <w:rPr>
                <w:rFonts w:ascii="Garamond" w:hAnsi="Garamond"/>
                <w:b/>
                <w:sz w:val="24"/>
                <w:szCs w:val="24"/>
              </w:rPr>
              <w:t>Broj dana provedenih na ratištu</w:t>
            </w:r>
          </w:p>
        </w:tc>
        <w:tc>
          <w:tcPr>
            <w:tcW w:w="5386" w:type="dxa"/>
          </w:tcPr>
          <w:p w14:paraId="2D6AB185" w14:textId="77777777" w:rsidR="00547657" w:rsidRPr="00547657" w:rsidRDefault="00547657" w:rsidP="00547657">
            <w:pPr>
              <w:jc w:val="center"/>
              <w:rPr>
                <w:rFonts w:ascii="Garamond" w:hAnsi="Garamond"/>
                <w:b/>
                <w:sz w:val="24"/>
                <w:szCs w:val="24"/>
              </w:rPr>
            </w:pPr>
            <w:r w:rsidRPr="00547657">
              <w:rPr>
                <w:rFonts w:ascii="Garamond" w:hAnsi="Garamond"/>
                <w:b/>
                <w:sz w:val="24"/>
                <w:szCs w:val="24"/>
              </w:rPr>
              <w:t>Postotak dodatnog oslobađanja od plaćanja komunalnog doprinosa</w:t>
            </w:r>
          </w:p>
        </w:tc>
      </w:tr>
      <w:tr w:rsidR="00547657" w:rsidRPr="00547657" w14:paraId="78C29E8F" w14:textId="77777777" w:rsidTr="002E3135">
        <w:tc>
          <w:tcPr>
            <w:tcW w:w="3681" w:type="dxa"/>
          </w:tcPr>
          <w:p w14:paraId="4C351E35" w14:textId="77777777" w:rsidR="00547657" w:rsidRPr="00547657" w:rsidRDefault="00547657" w:rsidP="00547657">
            <w:pPr>
              <w:jc w:val="center"/>
              <w:rPr>
                <w:rFonts w:ascii="Garamond" w:hAnsi="Garamond"/>
                <w:sz w:val="24"/>
                <w:szCs w:val="24"/>
              </w:rPr>
            </w:pPr>
            <w:r w:rsidRPr="00547657">
              <w:rPr>
                <w:rFonts w:ascii="Garamond" w:hAnsi="Garamond"/>
                <w:sz w:val="24"/>
                <w:szCs w:val="24"/>
              </w:rPr>
              <w:t>450 dana i više</w:t>
            </w:r>
          </w:p>
        </w:tc>
        <w:tc>
          <w:tcPr>
            <w:tcW w:w="5386" w:type="dxa"/>
          </w:tcPr>
          <w:p w14:paraId="2CD4BF7B" w14:textId="77777777" w:rsidR="00547657" w:rsidRPr="00547657" w:rsidRDefault="00547657" w:rsidP="00547657">
            <w:pPr>
              <w:jc w:val="center"/>
              <w:rPr>
                <w:rFonts w:ascii="Garamond" w:hAnsi="Garamond"/>
                <w:sz w:val="24"/>
                <w:szCs w:val="24"/>
              </w:rPr>
            </w:pPr>
            <w:r w:rsidRPr="00547657">
              <w:rPr>
                <w:rFonts w:ascii="Garamond" w:hAnsi="Garamond"/>
                <w:sz w:val="24"/>
                <w:szCs w:val="24"/>
              </w:rPr>
              <w:t>25 %</w:t>
            </w:r>
          </w:p>
        </w:tc>
      </w:tr>
      <w:tr w:rsidR="00547657" w:rsidRPr="00547657" w14:paraId="34DDF203" w14:textId="77777777" w:rsidTr="002E3135">
        <w:tc>
          <w:tcPr>
            <w:tcW w:w="3681" w:type="dxa"/>
          </w:tcPr>
          <w:p w14:paraId="5D49BBB9" w14:textId="77777777" w:rsidR="00547657" w:rsidRPr="00547657" w:rsidRDefault="00547657" w:rsidP="00547657">
            <w:pPr>
              <w:jc w:val="center"/>
              <w:rPr>
                <w:rFonts w:ascii="Garamond" w:hAnsi="Garamond"/>
                <w:sz w:val="24"/>
                <w:szCs w:val="24"/>
              </w:rPr>
            </w:pPr>
            <w:r w:rsidRPr="00547657">
              <w:rPr>
                <w:rFonts w:ascii="Garamond" w:hAnsi="Garamond"/>
                <w:sz w:val="24"/>
                <w:szCs w:val="24"/>
              </w:rPr>
              <w:t>400-450 dana</w:t>
            </w:r>
          </w:p>
        </w:tc>
        <w:tc>
          <w:tcPr>
            <w:tcW w:w="5386" w:type="dxa"/>
          </w:tcPr>
          <w:p w14:paraId="70B39813" w14:textId="77777777" w:rsidR="00547657" w:rsidRPr="00547657" w:rsidRDefault="00547657" w:rsidP="00547657">
            <w:pPr>
              <w:jc w:val="center"/>
              <w:rPr>
                <w:rFonts w:ascii="Garamond" w:hAnsi="Garamond"/>
                <w:sz w:val="24"/>
                <w:szCs w:val="24"/>
              </w:rPr>
            </w:pPr>
            <w:r w:rsidRPr="00547657">
              <w:rPr>
                <w:rFonts w:ascii="Garamond" w:hAnsi="Garamond"/>
                <w:sz w:val="24"/>
                <w:szCs w:val="24"/>
              </w:rPr>
              <w:t>22,5%</w:t>
            </w:r>
          </w:p>
        </w:tc>
      </w:tr>
      <w:tr w:rsidR="00547657" w:rsidRPr="00547657" w14:paraId="606BA4FA" w14:textId="77777777" w:rsidTr="002E3135">
        <w:tc>
          <w:tcPr>
            <w:tcW w:w="3681" w:type="dxa"/>
          </w:tcPr>
          <w:p w14:paraId="419A2027" w14:textId="77777777" w:rsidR="00547657" w:rsidRPr="00547657" w:rsidRDefault="00547657" w:rsidP="00547657">
            <w:pPr>
              <w:jc w:val="center"/>
              <w:rPr>
                <w:rFonts w:ascii="Garamond" w:hAnsi="Garamond"/>
                <w:sz w:val="24"/>
                <w:szCs w:val="24"/>
              </w:rPr>
            </w:pPr>
            <w:r w:rsidRPr="00547657">
              <w:rPr>
                <w:rFonts w:ascii="Garamond" w:hAnsi="Garamond"/>
                <w:sz w:val="24"/>
                <w:szCs w:val="24"/>
              </w:rPr>
              <w:t>350-400 dana</w:t>
            </w:r>
          </w:p>
        </w:tc>
        <w:tc>
          <w:tcPr>
            <w:tcW w:w="5386" w:type="dxa"/>
          </w:tcPr>
          <w:p w14:paraId="50D04172" w14:textId="77777777" w:rsidR="00547657" w:rsidRPr="00547657" w:rsidRDefault="00547657" w:rsidP="00547657">
            <w:pPr>
              <w:jc w:val="center"/>
              <w:rPr>
                <w:rFonts w:ascii="Garamond" w:hAnsi="Garamond"/>
                <w:sz w:val="24"/>
                <w:szCs w:val="24"/>
              </w:rPr>
            </w:pPr>
            <w:r w:rsidRPr="00547657">
              <w:rPr>
                <w:rFonts w:ascii="Garamond" w:hAnsi="Garamond"/>
                <w:sz w:val="24"/>
                <w:szCs w:val="24"/>
              </w:rPr>
              <w:t>20%</w:t>
            </w:r>
          </w:p>
        </w:tc>
      </w:tr>
      <w:tr w:rsidR="00547657" w:rsidRPr="00547657" w14:paraId="23CC23C9" w14:textId="77777777" w:rsidTr="002E3135">
        <w:tc>
          <w:tcPr>
            <w:tcW w:w="3681" w:type="dxa"/>
          </w:tcPr>
          <w:p w14:paraId="1CA5009C" w14:textId="77777777" w:rsidR="00547657" w:rsidRPr="00547657" w:rsidRDefault="00547657" w:rsidP="00547657">
            <w:pPr>
              <w:jc w:val="center"/>
              <w:rPr>
                <w:rFonts w:ascii="Garamond" w:hAnsi="Garamond"/>
                <w:sz w:val="24"/>
                <w:szCs w:val="24"/>
              </w:rPr>
            </w:pPr>
            <w:r w:rsidRPr="00547657">
              <w:rPr>
                <w:rFonts w:ascii="Garamond" w:hAnsi="Garamond"/>
                <w:sz w:val="24"/>
                <w:szCs w:val="24"/>
              </w:rPr>
              <w:t>300-350 dana</w:t>
            </w:r>
          </w:p>
        </w:tc>
        <w:tc>
          <w:tcPr>
            <w:tcW w:w="5386" w:type="dxa"/>
          </w:tcPr>
          <w:p w14:paraId="011528D5" w14:textId="77777777" w:rsidR="00547657" w:rsidRPr="00547657" w:rsidRDefault="00547657" w:rsidP="00547657">
            <w:pPr>
              <w:jc w:val="center"/>
              <w:rPr>
                <w:rFonts w:ascii="Garamond" w:hAnsi="Garamond"/>
                <w:sz w:val="24"/>
                <w:szCs w:val="24"/>
              </w:rPr>
            </w:pPr>
            <w:r w:rsidRPr="00547657">
              <w:rPr>
                <w:rFonts w:ascii="Garamond" w:hAnsi="Garamond"/>
                <w:sz w:val="24"/>
                <w:szCs w:val="24"/>
              </w:rPr>
              <w:t>17,5%</w:t>
            </w:r>
          </w:p>
        </w:tc>
      </w:tr>
      <w:tr w:rsidR="00547657" w:rsidRPr="00547657" w14:paraId="4C8679AD" w14:textId="77777777" w:rsidTr="002E3135">
        <w:tc>
          <w:tcPr>
            <w:tcW w:w="3681" w:type="dxa"/>
          </w:tcPr>
          <w:p w14:paraId="69859688" w14:textId="77777777" w:rsidR="00547657" w:rsidRPr="00547657" w:rsidRDefault="00547657" w:rsidP="00547657">
            <w:pPr>
              <w:jc w:val="center"/>
              <w:rPr>
                <w:rFonts w:ascii="Garamond" w:hAnsi="Garamond"/>
                <w:sz w:val="24"/>
                <w:szCs w:val="24"/>
              </w:rPr>
            </w:pPr>
            <w:r w:rsidRPr="00547657">
              <w:rPr>
                <w:rFonts w:ascii="Garamond" w:hAnsi="Garamond"/>
                <w:sz w:val="24"/>
                <w:szCs w:val="24"/>
              </w:rPr>
              <w:t>250-300 dana</w:t>
            </w:r>
          </w:p>
        </w:tc>
        <w:tc>
          <w:tcPr>
            <w:tcW w:w="5386" w:type="dxa"/>
          </w:tcPr>
          <w:p w14:paraId="44ECD3CF" w14:textId="77777777" w:rsidR="00547657" w:rsidRPr="00547657" w:rsidRDefault="00547657" w:rsidP="00547657">
            <w:pPr>
              <w:jc w:val="center"/>
              <w:rPr>
                <w:rFonts w:ascii="Garamond" w:hAnsi="Garamond"/>
                <w:sz w:val="24"/>
                <w:szCs w:val="24"/>
              </w:rPr>
            </w:pPr>
            <w:r w:rsidRPr="00547657">
              <w:rPr>
                <w:rFonts w:ascii="Garamond" w:hAnsi="Garamond"/>
                <w:sz w:val="24"/>
                <w:szCs w:val="24"/>
              </w:rPr>
              <w:t>15%</w:t>
            </w:r>
          </w:p>
        </w:tc>
      </w:tr>
      <w:tr w:rsidR="00547657" w:rsidRPr="00547657" w14:paraId="3F93F857" w14:textId="77777777" w:rsidTr="002E3135">
        <w:tc>
          <w:tcPr>
            <w:tcW w:w="3681" w:type="dxa"/>
          </w:tcPr>
          <w:p w14:paraId="5DF6B4A4" w14:textId="77777777" w:rsidR="00547657" w:rsidRPr="00547657" w:rsidRDefault="00547657" w:rsidP="00547657">
            <w:pPr>
              <w:jc w:val="center"/>
              <w:rPr>
                <w:rFonts w:ascii="Garamond" w:hAnsi="Garamond"/>
                <w:sz w:val="24"/>
                <w:szCs w:val="24"/>
              </w:rPr>
            </w:pPr>
            <w:r w:rsidRPr="00547657">
              <w:rPr>
                <w:rFonts w:ascii="Garamond" w:hAnsi="Garamond"/>
                <w:sz w:val="24"/>
                <w:szCs w:val="24"/>
              </w:rPr>
              <w:t>200-250 dana</w:t>
            </w:r>
          </w:p>
        </w:tc>
        <w:tc>
          <w:tcPr>
            <w:tcW w:w="5386" w:type="dxa"/>
          </w:tcPr>
          <w:p w14:paraId="5C7CECC4" w14:textId="77777777" w:rsidR="00547657" w:rsidRPr="00547657" w:rsidRDefault="00547657" w:rsidP="00547657">
            <w:pPr>
              <w:jc w:val="center"/>
              <w:rPr>
                <w:rFonts w:ascii="Garamond" w:hAnsi="Garamond"/>
                <w:sz w:val="24"/>
                <w:szCs w:val="24"/>
              </w:rPr>
            </w:pPr>
            <w:r w:rsidRPr="00547657">
              <w:rPr>
                <w:rFonts w:ascii="Garamond" w:hAnsi="Garamond"/>
                <w:sz w:val="24"/>
                <w:szCs w:val="24"/>
              </w:rPr>
              <w:t>12,5%</w:t>
            </w:r>
          </w:p>
        </w:tc>
      </w:tr>
      <w:tr w:rsidR="00547657" w:rsidRPr="00547657" w14:paraId="38B065BD" w14:textId="77777777" w:rsidTr="002E3135">
        <w:tc>
          <w:tcPr>
            <w:tcW w:w="3681" w:type="dxa"/>
          </w:tcPr>
          <w:p w14:paraId="2AAAF2FB" w14:textId="77777777" w:rsidR="00547657" w:rsidRPr="00547657" w:rsidRDefault="00547657" w:rsidP="00547657">
            <w:pPr>
              <w:jc w:val="center"/>
              <w:rPr>
                <w:rFonts w:ascii="Garamond" w:hAnsi="Garamond"/>
                <w:sz w:val="24"/>
                <w:szCs w:val="24"/>
              </w:rPr>
            </w:pPr>
            <w:r w:rsidRPr="00547657">
              <w:rPr>
                <w:rFonts w:ascii="Garamond" w:hAnsi="Garamond"/>
                <w:sz w:val="24"/>
                <w:szCs w:val="24"/>
              </w:rPr>
              <w:t>150-200 dana</w:t>
            </w:r>
          </w:p>
        </w:tc>
        <w:tc>
          <w:tcPr>
            <w:tcW w:w="5386" w:type="dxa"/>
          </w:tcPr>
          <w:p w14:paraId="7B3844B2" w14:textId="77777777" w:rsidR="00547657" w:rsidRPr="00547657" w:rsidRDefault="00547657" w:rsidP="00547657">
            <w:pPr>
              <w:jc w:val="center"/>
              <w:rPr>
                <w:rFonts w:ascii="Garamond" w:hAnsi="Garamond"/>
                <w:sz w:val="24"/>
                <w:szCs w:val="24"/>
              </w:rPr>
            </w:pPr>
            <w:r w:rsidRPr="00547657">
              <w:rPr>
                <w:rFonts w:ascii="Garamond" w:hAnsi="Garamond"/>
                <w:sz w:val="24"/>
                <w:szCs w:val="24"/>
              </w:rPr>
              <w:t>10%</w:t>
            </w:r>
          </w:p>
        </w:tc>
      </w:tr>
      <w:tr w:rsidR="00547657" w:rsidRPr="00547657" w14:paraId="52A6ED1D" w14:textId="77777777" w:rsidTr="002E3135">
        <w:tc>
          <w:tcPr>
            <w:tcW w:w="3681" w:type="dxa"/>
          </w:tcPr>
          <w:p w14:paraId="623BCDEA" w14:textId="77777777" w:rsidR="00547657" w:rsidRPr="00547657" w:rsidRDefault="00547657" w:rsidP="00547657">
            <w:pPr>
              <w:jc w:val="center"/>
              <w:rPr>
                <w:rFonts w:ascii="Garamond" w:hAnsi="Garamond"/>
                <w:sz w:val="24"/>
                <w:szCs w:val="24"/>
              </w:rPr>
            </w:pPr>
            <w:r w:rsidRPr="00547657">
              <w:rPr>
                <w:rFonts w:ascii="Garamond" w:hAnsi="Garamond"/>
                <w:sz w:val="24"/>
                <w:szCs w:val="24"/>
              </w:rPr>
              <w:t>100-150 dana</w:t>
            </w:r>
          </w:p>
        </w:tc>
        <w:tc>
          <w:tcPr>
            <w:tcW w:w="5386" w:type="dxa"/>
          </w:tcPr>
          <w:p w14:paraId="2B576413" w14:textId="77777777" w:rsidR="00547657" w:rsidRPr="00547657" w:rsidRDefault="00547657" w:rsidP="00547657">
            <w:pPr>
              <w:jc w:val="center"/>
              <w:rPr>
                <w:rFonts w:ascii="Garamond" w:hAnsi="Garamond"/>
                <w:sz w:val="24"/>
                <w:szCs w:val="24"/>
              </w:rPr>
            </w:pPr>
            <w:r w:rsidRPr="00547657">
              <w:rPr>
                <w:rFonts w:ascii="Garamond" w:hAnsi="Garamond"/>
                <w:sz w:val="24"/>
                <w:szCs w:val="24"/>
              </w:rPr>
              <w:t>7,5%</w:t>
            </w:r>
          </w:p>
        </w:tc>
      </w:tr>
      <w:tr w:rsidR="00547657" w:rsidRPr="00547657" w14:paraId="7F5BA7F6" w14:textId="77777777" w:rsidTr="002E3135">
        <w:tc>
          <w:tcPr>
            <w:tcW w:w="3681" w:type="dxa"/>
          </w:tcPr>
          <w:p w14:paraId="68E364EC" w14:textId="77777777" w:rsidR="00547657" w:rsidRPr="00547657" w:rsidRDefault="00547657" w:rsidP="00547657">
            <w:pPr>
              <w:jc w:val="center"/>
              <w:rPr>
                <w:rFonts w:ascii="Garamond" w:hAnsi="Garamond"/>
                <w:sz w:val="24"/>
                <w:szCs w:val="24"/>
              </w:rPr>
            </w:pPr>
            <w:r w:rsidRPr="00547657">
              <w:rPr>
                <w:rFonts w:ascii="Garamond" w:hAnsi="Garamond"/>
                <w:sz w:val="24"/>
                <w:szCs w:val="24"/>
              </w:rPr>
              <w:t>50-100 dana</w:t>
            </w:r>
          </w:p>
        </w:tc>
        <w:tc>
          <w:tcPr>
            <w:tcW w:w="5386" w:type="dxa"/>
          </w:tcPr>
          <w:p w14:paraId="76A3A772" w14:textId="77777777" w:rsidR="00547657" w:rsidRPr="00547657" w:rsidRDefault="00547657" w:rsidP="00547657">
            <w:pPr>
              <w:jc w:val="center"/>
              <w:rPr>
                <w:rFonts w:ascii="Garamond" w:hAnsi="Garamond"/>
                <w:sz w:val="24"/>
                <w:szCs w:val="24"/>
              </w:rPr>
            </w:pPr>
            <w:r w:rsidRPr="00547657">
              <w:rPr>
                <w:rFonts w:ascii="Garamond" w:hAnsi="Garamond"/>
                <w:sz w:val="24"/>
                <w:szCs w:val="24"/>
              </w:rPr>
              <w:t>5%</w:t>
            </w:r>
          </w:p>
        </w:tc>
      </w:tr>
      <w:tr w:rsidR="00547657" w:rsidRPr="00547657" w14:paraId="4B2A0FB4" w14:textId="77777777" w:rsidTr="002E3135">
        <w:tc>
          <w:tcPr>
            <w:tcW w:w="3681" w:type="dxa"/>
          </w:tcPr>
          <w:p w14:paraId="7A4789C4" w14:textId="77777777" w:rsidR="00547657" w:rsidRPr="00547657" w:rsidRDefault="00547657" w:rsidP="00547657">
            <w:pPr>
              <w:jc w:val="center"/>
              <w:rPr>
                <w:rFonts w:ascii="Garamond" w:hAnsi="Garamond"/>
                <w:sz w:val="24"/>
                <w:szCs w:val="24"/>
              </w:rPr>
            </w:pPr>
            <w:r w:rsidRPr="00547657">
              <w:rPr>
                <w:rFonts w:ascii="Garamond" w:hAnsi="Garamond"/>
                <w:sz w:val="24"/>
                <w:szCs w:val="24"/>
              </w:rPr>
              <w:t>do 50 dana</w:t>
            </w:r>
          </w:p>
        </w:tc>
        <w:tc>
          <w:tcPr>
            <w:tcW w:w="5386" w:type="dxa"/>
          </w:tcPr>
          <w:p w14:paraId="257D18B8" w14:textId="77777777" w:rsidR="00547657" w:rsidRPr="00547657" w:rsidRDefault="00547657" w:rsidP="00547657">
            <w:pPr>
              <w:jc w:val="center"/>
              <w:rPr>
                <w:rFonts w:ascii="Garamond" w:hAnsi="Garamond"/>
                <w:sz w:val="24"/>
                <w:szCs w:val="24"/>
              </w:rPr>
            </w:pPr>
            <w:r w:rsidRPr="00547657">
              <w:rPr>
                <w:rFonts w:ascii="Garamond" w:hAnsi="Garamond"/>
                <w:sz w:val="24"/>
                <w:szCs w:val="24"/>
              </w:rPr>
              <w:t>2,5%</w:t>
            </w:r>
          </w:p>
        </w:tc>
      </w:tr>
    </w:tbl>
    <w:p w14:paraId="27A94376" w14:textId="77777777" w:rsidR="00547657" w:rsidRPr="00547657" w:rsidRDefault="00547657" w:rsidP="00547657">
      <w:pPr>
        <w:spacing w:before="100" w:beforeAutospacing="1" w:after="100" w:afterAutospacing="1"/>
        <w:rPr>
          <w:rFonts w:ascii="Garamond" w:hAnsi="Garamond"/>
          <w:sz w:val="24"/>
          <w:szCs w:val="24"/>
        </w:rPr>
      </w:pPr>
      <w:r w:rsidRPr="00547657">
        <w:rPr>
          <w:rFonts w:ascii="Garamond" w:hAnsi="Garamond"/>
          <w:sz w:val="24"/>
          <w:szCs w:val="24"/>
        </w:rPr>
        <w:t xml:space="preserve">       Hrvatski ratni vojni invalidi (HRVI) i članovi obitelji poginuloga, umrloga, zatočenoga ili nestalnog hrvatskog branitelja, kako ih je odredio zakon, imaju pravo na potpuno oslobađanje od plaćanja komunalnog doprinosa za gradnju ili ozakonjenje stambenog objekta do 700 m</w:t>
      </w:r>
      <w:r w:rsidRPr="00547657">
        <w:rPr>
          <w:rFonts w:ascii="Garamond" w:hAnsi="Garamond"/>
          <w:sz w:val="24"/>
          <w:szCs w:val="24"/>
          <w:vertAlign w:val="superscript"/>
        </w:rPr>
        <w:t>3</w:t>
      </w:r>
      <w:r w:rsidRPr="00547657">
        <w:rPr>
          <w:rFonts w:ascii="Garamond" w:hAnsi="Garamond"/>
          <w:sz w:val="24"/>
          <w:szCs w:val="24"/>
        </w:rPr>
        <w:t xml:space="preserve">. </w:t>
      </w:r>
    </w:p>
    <w:p w14:paraId="5D594B84" w14:textId="0C6DAF71" w:rsidR="001B28DA" w:rsidRDefault="00547657" w:rsidP="00C01408">
      <w:pPr>
        <w:spacing w:before="100" w:beforeAutospacing="1" w:after="100" w:afterAutospacing="1"/>
        <w:rPr>
          <w:rFonts w:ascii="Garamond" w:hAnsi="Garamond"/>
          <w:sz w:val="24"/>
          <w:szCs w:val="24"/>
        </w:rPr>
      </w:pPr>
      <w:r w:rsidRPr="00547657">
        <w:rPr>
          <w:rFonts w:ascii="Garamond" w:hAnsi="Garamond"/>
          <w:sz w:val="24"/>
          <w:szCs w:val="24"/>
        </w:rPr>
        <w:t xml:space="preserve">       Osobe trajne smanjene pokretljivosti kojoj su nužna za pokretljivost invalidska kolica (u daljnjem tekstu: osoba s invaliditetom) i članovi njihove uže obitelji, kako ih je odredio Zakon, uz uvjet da u projektnoj dokumentaciji za ishođenje potrebnih dozvola gradnje i obračun komunalnog doprinosa bude vidljiva potreba povećanog prostora radi kretanja osobe s invaliditetom, ostvaruju pravo na potpuno oslobađanje komunalnog doprinosa do 120 m</w:t>
      </w:r>
      <w:r w:rsidRPr="00547657">
        <w:rPr>
          <w:rFonts w:ascii="Garamond" w:hAnsi="Garamond"/>
          <w:sz w:val="24"/>
          <w:szCs w:val="24"/>
          <w:vertAlign w:val="superscript"/>
        </w:rPr>
        <w:t>3</w:t>
      </w:r>
      <w:r w:rsidRPr="00547657">
        <w:rPr>
          <w:rFonts w:ascii="Garamond" w:hAnsi="Garamond"/>
          <w:sz w:val="24"/>
          <w:szCs w:val="24"/>
        </w:rPr>
        <w:t>.</w:t>
      </w:r>
    </w:p>
    <w:p w14:paraId="66F02890" w14:textId="73B7EE7A" w:rsidR="00D21AA8" w:rsidRPr="00065FB6" w:rsidRDefault="00D21AA8" w:rsidP="00D21AA8">
      <w:pPr>
        <w:spacing w:before="100" w:beforeAutospacing="1" w:after="100" w:afterAutospacing="1"/>
        <w:ind w:firstLine="720"/>
        <w:rPr>
          <w:rFonts w:ascii="Garamond" w:hAnsi="Garamond"/>
          <w:sz w:val="24"/>
          <w:szCs w:val="24"/>
        </w:rPr>
      </w:pPr>
      <w:r w:rsidRPr="00065FB6">
        <w:rPr>
          <w:rFonts w:ascii="Garamond" w:hAnsi="Garamond"/>
          <w:sz w:val="24"/>
          <w:szCs w:val="24"/>
        </w:rPr>
        <w:t>Fizička osoba koja novom gradnjom objekta ulaže u izgradnju poslovnog objekta u kojem će s</w:t>
      </w:r>
      <w:r w:rsidR="00144E95">
        <w:rPr>
          <w:rFonts w:ascii="Garamond" w:hAnsi="Garamond"/>
          <w:sz w:val="24"/>
          <w:szCs w:val="24"/>
        </w:rPr>
        <w:t>e</w:t>
      </w:r>
      <w:r w:rsidRPr="00065FB6">
        <w:rPr>
          <w:rFonts w:ascii="Garamond" w:hAnsi="Garamond"/>
          <w:sz w:val="24"/>
          <w:szCs w:val="24"/>
        </w:rPr>
        <w:t xml:space="preserve"> obavljati proizvodna djelatnost, kod utvrđivanja komunalnog doprinosa ima pravo na oslobađanje od plaćanja komunalnog doprinosa za 20%.</w:t>
      </w:r>
    </w:p>
    <w:p w14:paraId="14694137" w14:textId="39CC298D" w:rsidR="00547657" w:rsidRDefault="001B28DA" w:rsidP="001B28DA">
      <w:pPr>
        <w:rPr>
          <w:rFonts w:ascii="Garamond" w:hAnsi="Garamond"/>
          <w:sz w:val="24"/>
          <w:szCs w:val="24"/>
        </w:rPr>
      </w:pPr>
      <w:r>
        <w:rPr>
          <w:rFonts w:ascii="Garamond" w:hAnsi="Garamond"/>
          <w:sz w:val="24"/>
          <w:szCs w:val="24"/>
        </w:rPr>
        <w:t xml:space="preserve">       </w:t>
      </w:r>
      <w:r w:rsidRPr="001B28DA">
        <w:rPr>
          <w:rFonts w:ascii="Garamond" w:hAnsi="Garamond"/>
          <w:sz w:val="24"/>
          <w:szCs w:val="24"/>
        </w:rPr>
        <w:t xml:space="preserve">Ako obveznik komunalnog doprinosa iz ovog članka otuđi </w:t>
      </w:r>
      <w:r w:rsidR="00D21AA8">
        <w:rPr>
          <w:rFonts w:ascii="Garamond" w:hAnsi="Garamond"/>
          <w:sz w:val="24"/>
          <w:szCs w:val="24"/>
        </w:rPr>
        <w:t>nekretninu</w:t>
      </w:r>
      <w:r w:rsidRPr="001B28DA">
        <w:rPr>
          <w:rFonts w:ascii="Garamond" w:hAnsi="Garamond"/>
          <w:sz w:val="24"/>
          <w:szCs w:val="24"/>
        </w:rPr>
        <w:t xml:space="preserve"> za koj</w:t>
      </w:r>
      <w:r w:rsidR="00D21AA8">
        <w:rPr>
          <w:rFonts w:ascii="Garamond" w:hAnsi="Garamond"/>
          <w:sz w:val="24"/>
          <w:szCs w:val="24"/>
        </w:rPr>
        <w:t>u</w:t>
      </w:r>
      <w:r w:rsidRPr="001B28DA">
        <w:rPr>
          <w:rFonts w:ascii="Garamond" w:hAnsi="Garamond"/>
          <w:sz w:val="24"/>
          <w:szCs w:val="24"/>
        </w:rPr>
        <w:t xml:space="preserve"> je ostvario</w:t>
      </w:r>
      <w:r>
        <w:rPr>
          <w:rFonts w:ascii="Garamond" w:hAnsi="Garamond"/>
          <w:sz w:val="24"/>
          <w:szCs w:val="24"/>
        </w:rPr>
        <w:t xml:space="preserve"> </w:t>
      </w:r>
      <w:r w:rsidRPr="001B28DA">
        <w:rPr>
          <w:rFonts w:ascii="Garamond" w:hAnsi="Garamond"/>
          <w:sz w:val="24"/>
          <w:szCs w:val="24"/>
        </w:rPr>
        <w:t>oslobođ</w:t>
      </w:r>
      <w:r w:rsidR="00D21AA8">
        <w:rPr>
          <w:rFonts w:ascii="Garamond" w:hAnsi="Garamond"/>
          <w:sz w:val="24"/>
          <w:szCs w:val="24"/>
        </w:rPr>
        <w:t>an</w:t>
      </w:r>
      <w:r w:rsidRPr="001B28DA">
        <w:rPr>
          <w:rFonts w:ascii="Garamond" w:hAnsi="Garamond"/>
          <w:sz w:val="24"/>
          <w:szCs w:val="24"/>
        </w:rPr>
        <w:t>je</w:t>
      </w:r>
      <w:r w:rsidR="00D21AA8">
        <w:rPr>
          <w:rFonts w:ascii="Garamond" w:hAnsi="Garamond"/>
          <w:sz w:val="24"/>
          <w:szCs w:val="24"/>
        </w:rPr>
        <w:t xml:space="preserve"> od plaćanja</w:t>
      </w:r>
      <w:r w:rsidRPr="001B28DA">
        <w:rPr>
          <w:rFonts w:ascii="Garamond" w:hAnsi="Garamond"/>
          <w:sz w:val="24"/>
          <w:szCs w:val="24"/>
        </w:rPr>
        <w:t xml:space="preserve"> komunalnog doprinosa, u roku od </w:t>
      </w:r>
      <w:r w:rsidRPr="00215BA5">
        <w:rPr>
          <w:rFonts w:ascii="Garamond" w:hAnsi="Garamond"/>
          <w:sz w:val="24"/>
          <w:szCs w:val="24"/>
        </w:rPr>
        <w:t xml:space="preserve">10 </w:t>
      </w:r>
      <w:r w:rsidRPr="001B28DA">
        <w:rPr>
          <w:rFonts w:ascii="Garamond" w:hAnsi="Garamond"/>
          <w:sz w:val="24"/>
          <w:szCs w:val="24"/>
        </w:rPr>
        <w:t>godina od dana ishođenja uporabne dozvole, dužan je otuđenje prijaviti Jedinstvenom upravnom odjelu Općine Punat i platiti razliku za ostvaren</w:t>
      </w:r>
      <w:r w:rsidR="00D21AA8">
        <w:rPr>
          <w:rFonts w:ascii="Garamond" w:hAnsi="Garamond"/>
          <w:sz w:val="24"/>
          <w:szCs w:val="24"/>
        </w:rPr>
        <w:t>o oslobađanje.</w:t>
      </w:r>
      <w:r>
        <w:rPr>
          <w:rFonts w:ascii="Garamond" w:hAnsi="Garamond"/>
          <w:sz w:val="24"/>
          <w:szCs w:val="24"/>
        </w:rPr>
        <w:t xml:space="preserve">  </w:t>
      </w:r>
    </w:p>
    <w:p w14:paraId="37D3FDB9" w14:textId="77777777" w:rsidR="001B28DA" w:rsidRPr="00547657" w:rsidRDefault="001B28DA" w:rsidP="00547657">
      <w:pPr>
        <w:jc w:val="left"/>
        <w:rPr>
          <w:rFonts w:ascii="Garamond" w:hAnsi="Garamond"/>
          <w:sz w:val="24"/>
          <w:szCs w:val="24"/>
        </w:rPr>
      </w:pPr>
    </w:p>
    <w:p w14:paraId="2893E0D0" w14:textId="047E04FD" w:rsidR="001B28DA" w:rsidRPr="00B53F0D" w:rsidRDefault="00547657" w:rsidP="00B64B72">
      <w:pPr>
        <w:rPr>
          <w:rFonts w:ascii="Garamond" w:hAnsi="Garamond"/>
          <w:sz w:val="24"/>
          <w:szCs w:val="24"/>
        </w:rPr>
      </w:pPr>
      <w:r w:rsidRPr="00547657">
        <w:rPr>
          <w:rFonts w:ascii="Garamond" w:hAnsi="Garamond"/>
          <w:sz w:val="24"/>
          <w:szCs w:val="24"/>
        </w:rPr>
        <w:t xml:space="preserve">       U slučaju iz stavka </w:t>
      </w:r>
      <w:r w:rsidR="0099509A">
        <w:rPr>
          <w:rFonts w:ascii="Garamond" w:hAnsi="Garamond"/>
          <w:sz w:val="24"/>
          <w:szCs w:val="24"/>
        </w:rPr>
        <w:t>3</w:t>
      </w:r>
      <w:r w:rsidRPr="00547657">
        <w:rPr>
          <w:rFonts w:ascii="Garamond" w:hAnsi="Garamond"/>
          <w:sz w:val="24"/>
          <w:szCs w:val="24"/>
        </w:rPr>
        <w:t>.</w:t>
      </w:r>
      <w:r w:rsidR="00D21AA8">
        <w:rPr>
          <w:rFonts w:ascii="Garamond" w:hAnsi="Garamond"/>
          <w:sz w:val="24"/>
          <w:szCs w:val="24"/>
        </w:rPr>
        <w:t xml:space="preserve"> i 4.</w:t>
      </w:r>
      <w:r w:rsidRPr="00547657">
        <w:rPr>
          <w:rFonts w:ascii="Garamond" w:hAnsi="Garamond"/>
          <w:sz w:val="24"/>
          <w:szCs w:val="24"/>
        </w:rPr>
        <w:t xml:space="preserve"> ovog članka kod izračuna priznaje se pravo na oslobađanje na obujam </w:t>
      </w:r>
      <w:r w:rsidRPr="00B53F0D">
        <w:rPr>
          <w:rFonts w:ascii="Garamond" w:hAnsi="Garamond"/>
          <w:sz w:val="24"/>
          <w:szCs w:val="24"/>
        </w:rPr>
        <w:t>objekta do ukupno 700 m³ nadograđenog dijela.</w:t>
      </w:r>
    </w:p>
    <w:p w14:paraId="0AA75FD5" w14:textId="5214345C" w:rsidR="00C01408" w:rsidRPr="00D21AA8" w:rsidRDefault="00C01408" w:rsidP="00B64B72">
      <w:pPr>
        <w:rPr>
          <w:rFonts w:ascii="Garamond" w:hAnsi="Garamond"/>
          <w:color w:val="FF0000"/>
          <w:sz w:val="24"/>
          <w:szCs w:val="24"/>
        </w:rPr>
      </w:pPr>
    </w:p>
    <w:p w14:paraId="6C29A049" w14:textId="260E44AF" w:rsidR="00C01408" w:rsidRDefault="00C01408" w:rsidP="00B64B72">
      <w:pPr>
        <w:rPr>
          <w:rFonts w:ascii="Garamond" w:hAnsi="Garamond"/>
          <w:sz w:val="24"/>
          <w:szCs w:val="24"/>
        </w:rPr>
      </w:pPr>
      <w:r>
        <w:rPr>
          <w:rFonts w:ascii="Garamond" w:hAnsi="Garamond"/>
          <w:sz w:val="24"/>
          <w:szCs w:val="24"/>
        </w:rPr>
        <w:lastRenderedPageBreak/>
        <w:t xml:space="preserve">       </w:t>
      </w:r>
      <w:r w:rsidRPr="00547657">
        <w:rPr>
          <w:rFonts w:ascii="Garamond" w:hAnsi="Garamond"/>
          <w:sz w:val="24"/>
          <w:szCs w:val="24"/>
        </w:rPr>
        <w:t>Prebivalište, neposjedovanje kuće ili stana, status hrvatskog branitelja, broj dana provedenih na ratištu, invaliditet te ostali podaci potrebni za utvrđivanje prava na oslobađanje propisano ovim člankom dokazuju se potvrdama nadležnih tijela.</w:t>
      </w:r>
    </w:p>
    <w:p w14:paraId="5A8EA518" w14:textId="77777777" w:rsidR="00520FA9" w:rsidRPr="001C4F07" w:rsidRDefault="00520FA9" w:rsidP="00B64B72">
      <w:pPr>
        <w:rPr>
          <w:rFonts w:ascii="Garamond" w:hAnsi="Garamond"/>
          <w:sz w:val="24"/>
          <w:szCs w:val="24"/>
        </w:rPr>
      </w:pPr>
    </w:p>
    <w:p w14:paraId="0BD45317" w14:textId="77777777" w:rsidR="00D21AA8" w:rsidRDefault="00D21AA8" w:rsidP="00250355">
      <w:pPr>
        <w:jc w:val="center"/>
        <w:rPr>
          <w:rFonts w:ascii="Garamond" w:hAnsi="Garamond"/>
          <w:b/>
          <w:sz w:val="24"/>
          <w:szCs w:val="24"/>
        </w:rPr>
      </w:pPr>
    </w:p>
    <w:p w14:paraId="46C2F981" w14:textId="71921248" w:rsidR="00250355" w:rsidRPr="00250355" w:rsidRDefault="00250355" w:rsidP="00250355">
      <w:pPr>
        <w:jc w:val="center"/>
        <w:rPr>
          <w:rFonts w:ascii="Garamond" w:hAnsi="Garamond"/>
          <w:b/>
          <w:sz w:val="24"/>
          <w:szCs w:val="24"/>
        </w:rPr>
      </w:pPr>
      <w:r w:rsidRPr="00250355">
        <w:rPr>
          <w:rFonts w:ascii="Garamond" w:hAnsi="Garamond"/>
          <w:b/>
          <w:sz w:val="24"/>
          <w:szCs w:val="24"/>
        </w:rPr>
        <w:t>Članak 5.</w:t>
      </w:r>
    </w:p>
    <w:p w14:paraId="0DE8651C" w14:textId="309CB0E3" w:rsidR="00D903F4" w:rsidRPr="00250355" w:rsidRDefault="00250355" w:rsidP="00250355">
      <w:pPr>
        <w:rPr>
          <w:rFonts w:ascii="Garamond" w:hAnsi="Garamond"/>
          <w:bCs/>
          <w:sz w:val="24"/>
          <w:szCs w:val="24"/>
        </w:rPr>
      </w:pPr>
      <w:r>
        <w:rPr>
          <w:rFonts w:ascii="Garamond" w:hAnsi="Garamond"/>
          <w:b/>
          <w:sz w:val="24"/>
          <w:szCs w:val="24"/>
        </w:rPr>
        <w:t xml:space="preserve">           </w:t>
      </w:r>
      <w:r w:rsidRPr="00250355">
        <w:rPr>
          <w:rFonts w:ascii="Garamond" w:hAnsi="Garamond"/>
          <w:bCs/>
          <w:sz w:val="24"/>
          <w:szCs w:val="24"/>
        </w:rPr>
        <w:t>Članak 11. mijenja se i sada glasi:</w:t>
      </w:r>
    </w:p>
    <w:p w14:paraId="3389D38B" w14:textId="00915FCA" w:rsidR="00044AB1" w:rsidRDefault="00250355" w:rsidP="00250355">
      <w:pPr>
        <w:rPr>
          <w:rFonts w:ascii="Garamond" w:hAnsi="Garamond"/>
          <w:bCs/>
          <w:sz w:val="24"/>
          <w:szCs w:val="24"/>
        </w:rPr>
      </w:pPr>
      <w:r w:rsidRPr="00250355">
        <w:rPr>
          <w:rFonts w:ascii="Garamond" w:hAnsi="Garamond"/>
          <w:bCs/>
          <w:sz w:val="24"/>
          <w:szCs w:val="24"/>
        </w:rPr>
        <w:t>„</w:t>
      </w:r>
      <w:r>
        <w:rPr>
          <w:rFonts w:ascii="Garamond" w:hAnsi="Garamond"/>
          <w:bCs/>
          <w:sz w:val="24"/>
          <w:szCs w:val="24"/>
        </w:rPr>
        <w:t>O</w:t>
      </w:r>
      <w:r w:rsidRPr="00250355">
        <w:rPr>
          <w:rFonts w:ascii="Garamond" w:hAnsi="Garamond"/>
          <w:bCs/>
          <w:sz w:val="24"/>
          <w:szCs w:val="24"/>
        </w:rPr>
        <w:t>bveznicima komunalnog doprinosa kojima je utvrđen komunalni doprinos za nadogradnju kao i rekonstrukciju hotela kojima će biti podignuta kategorizacija objekta s manje kategorizacije na kategorizaciju od 5 zvjezdica, mogu u roku od 3 mjeseca od dana izdane uporabne dozvole zatražiti izmjenu rješenja o komunalnom doprinosu na način da ih se djelomično oslobodi plaćanja komunalnog doprinosa za 50% utvrđenog iznosa.</w:t>
      </w:r>
    </w:p>
    <w:p w14:paraId="063AB967" w14:textId="08DBC961" w:rsidR="00250355" w:rsidRDefault="00044AB1" w:rsidP="00250355">
      <w:pPr>
        <w:rPr>
          <w:rFonts w:ascii="Garamond" w:hAnsi="Garamond"/>
          <w:bCs/>
          <w:sz w:val="24"/>
          <w:szCs w:val="24"/>
        </w:rPr>
      </w:pPr>
      <w:r>
        <w:rPr>
          <w:rFonts w:ascii="Garamond" w:hAnsi="Garamond"/>
          <w:sz w:val="24"/>
          <w:szCs w:val="24"/>
        </w:rPr>
        <w:t xml:space="preserve">Obveznicima komunalnog doprinosa kojima je utvrđen komunalni doprinos za nadogradnju kao i rekonstrukciju hotela kojima će biti podignuta kategorizacija objekta s manje kategorizacije na kategorizaciju od 4 zvjezdice, mogu u roku od 3 mjeseca od dana izdane uporabne dozvole zatražiti izmjenu rješenja o komunalnom doprinosu na način da ih se djelomično oslobodi plaćanja komunalnog doprinosa za </w:t>
      </w:r>
      <w:r w:rsidR="002752F2">
        <w:rPr>
          <w:rFonts w:ascii="Garamond" w:hAnsi="Garamond"/>
          <w:sz w:val="24"/>
          <w:szCs w:val="24"/>
        </w:rPr>
        <w:t>25</w:t>
      </w:r>
      <w:r>
        <w:rPr>
          <w:rFonts w:ascii="Garamond" w:hAnsi="Garamond"/>
          <w:sz w:val="24"/>
          <w:szCs w:val="24"/>
        </w:rPr>
        <w:t>% utvrđenog iznosa.</w:t>
      </w:r>
      <w:r w:rsidR="00250355">
        <w:rPr>
          <w:rFonts w:ascii="Garamond" w:hAnsi="Garamond"/>
          <w:bCs/>
          <w:sz w:val="24"/>
          <w:szCs w:val="24"/>
        </w:rPr>
        <w:t>“</w:t>
      </w:r>
    </w:p>
    <w:p w14:paraId="5B67AA7B" w14:textId="33042268" w:rsidR="00E505D3" w:rsidRDefault="00E505D3" w:rsidP="00250355">
      <w:pPr>
        <w:rPr>
          <w:rFonts w:ascii="Garamond" w:hAnsi="Garamond"/>
          <w:sz w:val="24"/>
          <w:szCs w:val="24"/>
        </w:rPr>
      </w:pPr>
    </w:p>
    <w:p w14:paraId="4D0CBBEE" w14:textId="6B0970D9" w:rsidR="00D903F4" w:rsidRPr="00E505D3" w:rsidRDefault="00E505D3" w:rsidP="00E505D3">
      <w:pPr>
        <w:jc w:val="center"/>
        <w:rPr>
          <w:rFonts w:ascii="Garamond" w:hAnsi="Garamond"/>
          <w:b/>
          <w:bCs/>
          <w:sz w:val="24"/>
          <w:szCs w:val="24"/>
        </w:rPr>
      </w:pPr>
      <w:r w:rsidRPr="00E505D3">
        <w:rPr>
          <w:rFonts w:ascii="Garamond" w:hAnsi="Garamond"/>
          <w:b/>
          <w:bCs/>
          <w:sz w:val="24"/>
          <w:szCs w:val="24"/>
        </w:rPr>
        <w:t>Članak 6.</w:t>
      </w:r>
    </w:p>
    <w:p w14:paraId="03B6AA19" w14:textId="77777777" w:rsidR="00802934" w:rsidRDefault="00802934" w:rsidP="00802934">
      <w:pPr>
        <w:rPr>
          <w:rFonts w:ascii="Garamond" w:hAnsi="Garamond"/>
          <w:sz w:val="24"/>
          <w:szCs w:val="24"/>
        </w:rPr>
      </w:pPr>
      <w:r>
        <w:rPr>
          <w:rFonts w:ascii="Garamond" w:hAnsi="Garamond"/>
          <w:sz w:val="24"/>
          <w:szCs w:val="24"/>
        </w:rPr>
        <w:t xml:space="preserve">          Ostale odredbe ove Odluke ostaju nepromijenjene.</w:t>
      </w:r>
    </w:p>
    <w:p w14:paraId="11A84040" w14:textId="77777777" w:rsidR="00802934" w:rsidRDefault="00802934" w:rsidP="00802934">
      <w:pPr>
        <w:rPr>
          <w:rFonts w:ascii="Garamond" w:hAnsi="Garamond"/>
          <w:sz w:val="24"/>
          <w:szCs w:val="24"/>
        </w:rPr>
      </w:pPr>
    </w:p>
    <w:p w14:paraId="7EB58F71" w14:textId="28AB3CE3" w:rsidR="00802934" w:rsidRDefault="00802934" w:rsidP="00802934">
      <w:pPr>
        <w:jc w:val="center"/>
        <w:rPr>
          <w:rFonts w:ascii="Garamond" w:hAnsi="Garamond"/>
          <w:b/>
          <w:sz w:val="24"/>
          <w:szCs w:val="24"/>
        </w:rPr>
      </w:pPr>
      <w:r w:rsidRPr="00091F1A">
        <w:rPr>
          <w:rFonts w:ascii="Garamond" w:hAnsi="Garamond"/>
          <w:b/>
          <w:sz w:val="24"/>
          <w:szCs w:val="24"/>
        </w:rPr>
        <w:t xml:space="preserve">Članak </w:t>
      </w:r>
      <w:r w:rsidR="00C7455F">
        <w:rPr>
          <w:rFonts w:ascii="Garamond" w:hAnsi="Garamond"/>
          <w:b/>
          <w:sz w:val="24"/>
          <w:szCs w:val="24"/>
        </w:rPr>
        <w:t>7</w:t>
      </w:r>
      <w:r w:rsidRPr="00091F1A">
        <w:rPr>
          <w:rFonts w:ascii="Garamond" w:hAnsi="Garamond"/>
          <w:b/>
          <w:sz w:val="24"/>
          <w:szCs w:val="24"/>
        </w:rPr>
        <w:t>.</w:t>
      </w:r>
    </w:p>
    <w:p w14:paraId="164CEB19" w14:textId="77777777" w:rsidR="00802934" w:rsidRPr="007F1853" w:rsidRDefault="00802934" w:rsidP="00802934">
      <w:pPr>
        <w:rPr>
          <w:rFonts w:ascii="Garamond" w:hAnsi="Garamond"/>
          <w:sz w:val="24"/>
          <w:szCs w:val="24"/>
        </w:rPr>
      </w:pPr>
      <w:r>
        <w:rPr>
          <w:rFonts w:ascii="Garamond" w:hAnsi="Garamond" w:cs="Arial"/>
          <w:sz w:val="24"/>
          <w:szCs w:val="24"/>
        </w:rPr>
        <w:t xml:space="preserve">          </w:t>
      </w:r>
      <w:r w:rsidRPr="007F1853">
        <w:rPr>
          <w:rFonts w:ascii="Garamond" w:hAnsi="Garamond" w:cs="Arial"/>
          <w:sz w:val="24"/>
          <w:szCs w:val="24"/>
        </w:rPr>
        <w:t>Ova Odluka stupa na snagu osmog dana od dana objave u „Službenim novinama Primorsko-goranske županije“.</w:t>
      </w:r>
    </w:p>
    <w:p w14:paraId="1FE3DA1A" w14:textId="77777777" w:rsidR="00802934" w:rsidRDefault="00802934" w:rsidP="00802934">
      <w:pPr>
        <w:rPr>
          <w:rFonts w:ascii="Garamond" w:hAnsi="Garamond"/>
          <w:sz w:val="24"/>
          <w:szCs w:val="24"/>
        </w:rPr>
      </w:pPr>
    </w:p>
    <w:p w14:paraId="0332DDE2" w14:textId="77777777" w:rsidR="00802934" w:rsidRDefault="00802934" w:rsidP="00802934">
      <w:pPr>
        <w:rPr>
          <w:rFonts w:ascii="Garamond" w:hAnsi="Garamond"/>
          <w:sz w:val="24"/>
          <w:szCs w:val="24"/>
        </w:rPr>
      </w:pPr>
    </w:p>
    <w:p w14:paraId="5176D0B0" w14:textId="77777777" w:rsidR="00802934" w:rsidRPr="007F1853" w:rsidRDefault="00802934" w:rsidP="00802934">
      <w:pPr>
        <w:keepNext/>
        <w:widowControl w:val="0"/>
        <w:numPr>
          <w:ilvl w:val="2"/>
          <w:numId w:val="1"/>
        </w:numPr>
        <w:suppressAutoHyphens/>
        <w:jc w:val="center"/>
        <w:outlineLvl w:val="2"/>
        <w:rPr>
          <w:rFonts w:ascii="Garamond" w:eastAsiaTheme="majorEastAsia" w:hAnsi="Garamond"/>
          <w:bCs/>
          <w:sz w:val="24"/>
          <w:szCs w:val="24"/>
        </w:rPr>
      </w:pPr>
      <w:r w:rsidRPr="007F1853">
        <w:rPr>
          <w:rFonts w:ascii="Garamond" w:eastAsiaTheme="majorEastAsia" w:hAnsi="Garamond"/>
          <w:bCs/>
          <w:sz w:val="24"/>
          <w:szCs w:val="24"/>
        </w:rPr>
        <w:t xml:space="preserve">OPĆINSKO VIJEĆE </w:t>
      </w:r>
    </w:p>
    <w:p w14:paraId="5630C283" w14:textId="77777777" w:rsidR="00802934" w:rsidRPr="007F1853" w:rsidRDefault="00802934" w:rsidP="00802934">
      <w:pPr>
        <w:keepNext/>
        <w:widowControl w:val="0"/>
        <w:numPr>
          <w:ilvl w:val="2"/>
          <w:numId w:val="1"/>
        </w:numPr>
        <w:suppressAutoHyphens/>
        <w:jc w:val="center"/>
        <w:outlineLvl w:val="2"/>
        <w:rPr>
          <w:rFonts w:ascii="Garamond" w:eastAsiaTheme="majorEastAsia" w:hAnsi="Garamond"/>
          <w:bCs/>
          <w:sz w:val="24"/>
          <w:szCs w:val="24"/>
        </w:rPr>
      </w:pPr>
      <w:r w:rsidRPr="007F1853">
        <w:rPr>
          <w:rFonts w:ascii="Garamond" w:eastAsiaTheme="majorEastAsia" w:hAnsi="Garamond"/>
          <w:bCs/>
          <w:sz w:val="24"/>
          <w:szCs w:val="24"/>
        </w:rPr>
        <w:t>OPĆINE PUNAT</w:t>
      </w:r>
    </w:p>
    <w:p w14:paraId="27A2EC84" w14:textId="77777777" w:rsidR="00802934" w:rsidRPr="007F1853" w:rsidRDefault="00802934" w:rsidP="00802934">
      <w:pPr>
        <w:jc w:val="left"/>
        <w:rPr>
          <w:rFonts w:ascii="Garamond" w:hAnsi="Garamond"/>
          <w:sz w:val="24"/>
          <w:szCs w:val="24"/>
        </w:rPr>
      </w:pPr>
    </w:p>
    <w:p w14:paraId="30583E06" w14:textId="77777777" w:rsidR="00802934" w:rsidRPr="007F1853" w:rsidRDefault="00802934" w:rsidP="00802934">
      <w:pPr>
        <w:jc w:val="center"/>
        <w:rPr>
          <w:rFonts w:ascii="Garamond" w:hAnsi="Garamond"/>
          <w:sz w:val="24"/>
          <w:szCs w:val="24"/>
        </w:rPr>
      </w:pP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t xml:space="preserve">PREDSJEDNIK </w:t>
      </w:r>
    </w:p>
    <w:p w14:paraId="44503D41" w14:textId="77777777" w:rsidR="00802934" w:rsidRPr="007F1853" w:rsidRDefault="00802934" w:rsidP="00802934">
      <w:pPr>
        <w:jc w:val="center"/>
        <w:rPr>
          <w:rFonts w:ascii="Garamond" w:hAnsi="Garamond"/>
          <w:sz w:val="24"/>
          <w:szCs w:val="24"/>
        </w:rPr>
      </w:pP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r>
      <w:r w:rsidRPr="007F1853">
        <w:rPr>
          <w:rFonts w:ascii="Garamond" w:hAnsi="Garamond"/>
          <w:sz w:val="24"/>
          <w:szCs w:val="24"/>
        </w:rPr>
        <w:tab/>
        <w:t>Goran Gržančić, dr.med.,v.r.</w:t>
      </w:r>
    </w:p>
    <w:p w14:paraId="554AAE9E" w14:textId="77777777" w:rsidR="00802934" w:rsidRPr="00AA06BB" w:rsidRDefault="00802934" w:rsidP="00802934">
      <w:pPr>
        <w:rPr>
          <w:rFonts w:ascii="Garamond" w:hAnsi="Garamond"/>
          <w:sz w:val="24"/>
          <w:szCs w:val="24"/>
        </w:rPr>
      </w:pPr>
    </w:p>
    <w:p w14:paraId="2D19D298" w14:textId="77777777" w:rsidR="00802934" w:rsidRDefault="00802934" w:rsidP="00802934"/>
    <w:p w14:paraId="52B0D9F9" w14:textId="77777777" w:rsidR="00802934" w:rsidRDefault="00802934" w:rsidP="00802934"/>
    <w:p w14:paraId="30D329CA" w14:textId="77777777" w:rsidR="00E26DAB" w:rsidRDefault="0062029C"/>
    <w:sectPr w:rsidR="00E26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Tahoma"/>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26443"/>
    <w:multiLevelType w:val="hybridMultilevel"/>
    <w:tmpl w:val="D1380D14"/>
    <w:lvl w:ilvl="0" w:tplc="21F07178">
      <w:start w:val="1"/>
      <w:numFmt w:val="upperRoman"/>
      <w:lvlText w:val="%1."/>
      <w:lvlJc w:val="left"/>
      <w:pPr>
        <w:ind w:left="862"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34"/>
    <w:rsid w:val="00006DE5"/>
    <w:rsid w:val="00010D26"/>
    <w:rsid w:val="00044AB1"/>
    <w:rsid w:val="00065FB6"/>
    <w:rsid w:val="0009677C"/>
    <w:rsid w:val="0010378C"/>
    <w:rsid w:val="00126BA4"/>
    <w:rsid w:val="00136D3E"/>
    <w:rsid w:val="00144E95"/>
    <w:rsid w:val="001700A0"/>
    <w:rsid w:val="001A6D76"/>
    <w:rsid w:val="001B28DA"/>
    <w:rsid w:val="001C4F07"/>
    <w:rsid w:val="001D12CC"/>
    <w:rsid w:val="001E4B2F"/>
    <w:rsid w:val="001E7BC0"/>
    <w:rsid w:val="00215BA5"/>
    <w:rsid w:val="00250355"/>
    <w:rsid w:val="0025426A"/>
    <w:rsid w:val="00263246"/>
    <w:rsid w:val="002752F2"/>
    <w:rsid w:val="00324FCD"/>
    <w:rsid w:val="003E6087"/>
    <w:rsid w:val="00412708"/>
    <w:rsid w:val="00434891"/>
    <w:rsid w:val="00447F45"/>
    <w:rsid w:val="004A4D79"/>
    <w:rsid w:val="004D0B36"/>
    <w:rsid w:val="00520FA9"/>
    <w:rsid w:val="00547657"/>
    <w:rsid w:val="005D0B13"/>
    <w:rsid w:val="005E3141"/>
    <w:rsid w:val="00601972"/>
    <w:rsid w:val="0062029C"/>
    <w:rsid w:val="006E56F3"/>
    <w:rsid w:val="006F75E8"/>
    <w:rsid w:val="007425F3"/>
    <w:rsid w:val="00802934"/>
    <w:rsid w:val="00843FE5"/>
    <w:rsid w:val="0088666D"/>
    <w:rsid w:val="008C19C8"/>
    <w:rsid w:val="008C26F9"/>
    <w:rsid w:val="008F396F"/>
    <w:rsid w:val="008F740F"/>
    <w:rsid w:val="00972094"/>
    <w:rsid w:val="0099509A"/>
    <w:rsid w:val="009D12EF"/>
    <w:rsid w:val="009D6E0B"/>
    <w:rsid w:val="009E2BFC"/>
    <w:rsid w:val="00A333E9"/>
    <w:rsid w:val="00A43E9C"/>
    <w:rsid w:val="00A7189B"/>
    <w:rsid w:val="00AA1787"/>
    <w:rsid w:val="00B4619C"/>
    <w:rsid w:val="00B53F0D"/>
    <w:rsid w:val="00B62C1C"/>
    <w:rsid w:val="00B64B72"/>
    <w:rsid w:val="00BA0A7E"/>
    <w:rsid w:val="00BC7FE0"/>
    <w:rsid w:val="00BD21E1"/>
    <w:rsid w:val="00C01408"/>
    <w:rsid w:val="00C35426"/>
    <w:rsid w:val="00C4432F"/>
    <w:rsid w:val="00C7455F"/>
    <w:rsid w:val="00D21AA8"/>
    <w:rsid w:val="00D72D38"/>
    <w:rsid w:val="00D903F4"/>
    <w:rsid w:val="00D90DF2"/>
    <w:rsid w:val="00DA6B11"/>
    <w:rsid w:val="00E4372D"/>
    <w:rsid w:val="00E505D3"/>
    <w:rsid w:val="00EC2B95"/>
    <w:rsid w:val="00ED7829"/>
    <w:rsid w:val="00ED7F81"/>
    <w:rsid w:val="00F45376"/>
    <w:rsid w:val="00F462F5"/>
    <w:rsid w:val="00FB58C5"/>
    <w:rsid w:val="00FE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83A6"/>
  <w15:chartTrackingRefBased/>
  <w15:docId w15:val="{9379E0E1-8B12-4F22-918F-43218F10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34"/>
    <w:pPr>
      <w:spacing w:after="0" w:line="240" w:lineRule="auto"/>
      <w:jc w:val="both"/>
    </w:pPr>
    <w:rPr>
      <w:rFonts w:ascii="Times New Roman" w:eastAsia="Times New Roman" w:hAnsi="Times New Roman" w:cs="Times New Roman"/>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C1C"/>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992705">
      <w:bodyDiv w:val="1"/>
      <w:marLeft w:val="0"/>
      <w:marRight w:val="0"/>
      <w:marTop w:val="0"/>
      <w:marBottom w:val="0"/>
      <w:divBdr>
        <w:top w:val="none" w:sz="0" w:space="0" w:color="auto"/>
        <w:left w:val="none" w:sz="0" w:space="0" w:color="auto"/>
        <w:bottom w:val="none" w:sz="0" w:space="0" w:color="auto"/>
        <w:right w:val="none" w:sz="0" w:space="0" w:color="auto"/>
      </w:divBdr>
    </w:div>
    <w:div w:id="1874532698">
      <w:bodyDiv w:val="1"/>
      <w:marLeft w:val="0"/>
      <w:marRight w:val="0"/>
      <w:marTop w:val="0"/>
      <w:marBottom w:val="0"/>
      <w:divBdr>
        <w:top w:val="none" w:sz="0" w:space="0" w:color="auto"/>
        <w:left w:val="none" w:sz="0" w:space="0" w:color="auto"/>
        <w:bottom w:val="none" w:sz="0" w:space="0" w:color="auto"/>
        <w:right w:val="none" w:sz="0" w:space="0" w:color="auto"/>
      </w:divBdr>
    </w:div>
    <w:div w:id="20292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FD18-8380-4BC9-858D-5B12807D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5</cp:revision>
  <cp:lastPrinted>2023-02-24T09:54:00Z</cp:lastPrinted>
  <dcterms:created xsi:type="dcterms:W3CDTF">2023-02-24T11:40:00Z</dcterms:created>
  <dcterms:modified xsi:type="dcterms:W3CDTF">2023-02-24T11:42:00Z</dcterms:modified>
</cp:coreProperties>
</file>