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C152F9" w:rsidRDefault="00151C5F">
      <w:pPr>
        <w:spacing w:before="60" w:after="0" w:line="240" w:lineRule="auto"/>
        <w:ind w:left="114" w:right="-20"/>
        <w:rPr>
          <w:rFonts w:ascii="Garamond" w:eastAsia="Myriad Pro" w:hAnsi="Garamond" w:cs="Myriad Pro"/>
          <w:sz w:val="24"/>
          <w:szCs w:val="24"/>
        </w:rPr>
      </w:pPr>
      <w:r w:rsidRPr="00151C5F">
        <w:rPr>
          <w:rFonts w:ascii="Garamond" w:hAnsi="Garamond"/>
          <w:noProof/>
          <w:sz w:val="24"/>
          <w:szCs w:val="24"/>
          <w:lang w:val="hr-HR" w:eastAsia="hr-HR"/>
        </w:rPr>
        <w:pict>
          <v:group id="Group 6" o:spid="_x0000_s1026" style="position:absolute;left:0;text-align:left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<v:path arrowok="t" o:connecttype="custom" o:connectlocs="0,0;6300,0" o:connectangles="0,0"/>
            </v:shape>
            <w10:wrap anchorx="page"/>
          </v:group>
        </w:pic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Standa</w:t>
      </w:r>
      <w:r w:rsidR="00B13212" w:rsidRPr="00C152F9">
        <w:rPr>
          <w:rFonts w:ascii="Garamond" w:eastAsia="Myriad Pro" w:hAnsi="Garamond" w:cs="Myriad Pro"/>
          <w:i/>
          <w:color w:val="8177B7"/>
          <w:spacing w:val="-1"/>
          <w:sz w:val="24"/>
          <w:szCs w:val="24"/>
        </w:rPr>
        <w:t>r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dni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ob</w:t>
      </w:r>
      <w:r w:rsidR="00B13212" w:rsidRPr="00C152F9">
        <w:rPr>
          <w:rFonts w:ascii="Garamond" w:eastAsia="Myriad Pro" w:hAnsi="Garamond" w:cs="Myriad Pro"/>
          <w:i/>
          <w:color w:val="8177B7"/>
          <w:spacing w:val="-4"/>
          <w:sz w:val="24"/>
          <w:szCs w:val="24"/>
        </w:rPr>
        <w:t>r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azac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sad</w:t>
      </w:r>
      <w:r w:rsidR="00B13212" w:rsidRPr="00C152F9">
        <w:rPr>
          <w:rFonts w:ascii="Garamond" w:eastAsia="Myriad Pro" w:hAnsi="Garamond" w:cs="Myriad Pro"/>
          <w:i/>
          <w:color w:val="8177B7"/>
          <w:spacing w:val="2"/>
          <w:sz w:val="24"/>
          <w:szCs w:val="24"/>
        </w:rPr>
        <w:t>r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žaja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dokumenta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za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savjet</w:t>
      </w:r>
      <w:r w:rsidR="00B13212" w:rsidRPr="00C152F9">
        <w:rPr>
          <w:rFonts w:ascii="Garamond" w:eastAsia="Myriad Pro" w:hAnsi="Garamond" w:cs="Myriad Pro"/>
          <w:i/>
          <w:color w:val="8177B7"/>
          <w:spacing w:val="-2"/>
          <w:sz w:val="24"/>
          <w:szCs w:val="24"/>
        </w:rPr>
        <w:t>o</w:t>
      </w:r>
      <w:r w:rsidR="00B13212" w:rsidRPr="00C152F9">
        <w:rPr>
          <w:rFonts w:ascii="Garamond" w:eastAsia="Myriad Pro" w:hAnsi="Garamond" w:cs="Myriad Pro"/>
          <w:i/>
          <w:color w:val="8177B7"/>
          <w:spacing w:val="-4"/>
          <w:sz w:val="24"/>
          <w:szCs w:val="24"/>
        </w:rPr>
        <w:t>v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anje</w:t>
      </w:r>
      <w:proofErr w:type="spellEnd"/>
    </w:p>
    <w:p w:rsidR="001D7128" w:rsidRPr="00C152F9" w:rsidRDefault="001D7128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7"/>
        <w:gridCol w:w="7796"/>
      </w:tblGrid>
      <w:tr w:rsidR="001D7128" w:rsidRPr="00C152F9" w:rsidTr="00EE01E3">
        <w:trPr>
          <w:trHeight w:hRule="exact" w:val="794"/>
        </w:trPr>
        <w:tc>
          <w:tcPr>
            <w:tcW w:w="10093" w:type="dxa"/>
            <w:gridSpan w:val="2"/>
            <w:tcBorders>
              <w:bottom w:val="single" w:sz="6" w:space="0" w:color="231F20"/>
            </w:tcBorders>
            <w:shd w:val="clear" w:color="auto" w:fill="0070C0"/>
          </w:tcPr>
          <w:p w:rsidR="001D7128" w:rsidRPr="00C152F9" w:rsidRDefault="001D7128">
            <w:pPr>
              <w:spacing w:before="3" w:after="0" w:line="14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B13212" w:rsidP="00C152F9">
            <w:pPr>
              <w:spacing w:after="0" w:line="240" w:lineRule="auto"/>
              <w:ind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4"/>
                <w:sz w:val="24"/>
                <w:szCs w:val="24"/>
              </w:rPr>
              <w:t>D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ARDNI OB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D7128" w:rsidRPr="00C152F9" w:rsidTr="00200F7D">
        <w:trPr>
          <w:trHeight w:hRule="exact" w:val="1145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1D7128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1D7128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B13212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1D7128">
            <w:pPr>
              <w:spacing w:before="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147799" w:rsidP="00200F7D">
            <w:pPr>
              <w:spacing w:after="0" w:line="240" w:lineRule="auto"/>
              <w:ind w:right="-20"/>
              <w:rPr>
                <w:rFonts w:ascii="Garamond" w:eastAsia="Myriad Pro" w:hAnsi="Garamond" w:cs="Times New Roman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Prijedlog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95E75"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dluke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naknadi</w:t>
            </w:r>
            <w:proofErr w:type="spellEnd"/>
          </w:p>
        </w:tc>
      </w:tr>
      <w:tr w:rsidR="001D7128" w:rsidRPr="00C152F9" w:rsidTr="00200F7D">
        <w:trPr>
          <w:trHeight w:hRule="exact" w:val="612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B13212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tijelo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147799" w:rsidP="00C152F9">
            <w:pPr>
              <w:spacing w:after="0" w:line="240" w:lineRule="auto"/>
              <w:ind w:right="-20"/>
              <w:rPr>
                <w:rFonts w:ascii="Garamond" w:eastAsia="Myriad Pro" w:hAnsi="Garamond" w:cs="Times New Roman"/>
                <w:sz w:val="24"/>
                <w:szCs w:val="24"/>
              </w:rPr>
            </w:pPr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Općina Punat,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Jedinstveni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upravni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odjel</w:t>
            </w:r>
            <w:proofErr w:type="spellEnd"/>
          </w:p>
        </w:tc>
      </w:tr>
      <w:tr w:rsidR="001D7128" w:rsidRPr="00C152F9" w:rsidTr="0093761E">
        <w:trPr>
          <w:trHeight w:hRule="exact" w:val="936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B1321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47799" w:rsidRPr="00200F7D" w:rsidRDefault="00B95E75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C152F9">
              <w:rPr>
                <w:rFonts w:ascii="Garamond" w:hAnsi="Garamond" w:cs="Times New Roman"/>
                <w:sz w:val="24"/>
                <w:szCs w:val="24"/>
                <w:lang w:val="hr-HR"/>
              </w:rPr>
              <w:t>Definiranje načina obračuna i visine komunalne naknad</w:t>
            </w:r>
            <w:r w:rsidR="0001349D" w:rsidRPr="00C152F9">
              <w:rPr>
                <w:rFonts w:ascii="Garamond" w:hAnsi="Garamond" w:cs="Times New Roman"/>
                <w:sz w:val="24"/>
                <w:szCs w:val="24"/>
                <w:lang w:val="hr-HR"/>
              </w:rPr>
              <w:t>e</w:t>
            </w:r>
            <w:r w:rsidRPr="00C152F9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na području Općine Punat, sukladno</w:t>
            </w:r>
            <w:r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</w:t>
            </w:r>
            <w:r w:rsidR="00C152F9"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n</w:t>
            </w:r>
            <w:r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ovom Zakonu o komunalnom gospodarstvu („Narodne novine“ broj 68/18)</w:t>
            </w:r>
            <w:r w:rsidR="00200F7D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</w:t>
            </w:r>
            <w:r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koji je stupio na snagu 4.</w:t>
            </w:r>
            <w:r w:rsidR="00200F7D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</w:t>
            </w:r>
            <w:r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kolovoza 2018. </w:t>
            </w:r>
            <w:r w:rsidR="0001349D"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g</w:t>
            </w:r>
            <w:r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odine</w:t>
            </w:r>
            <w:r w:rsidR="0001349D"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</w:t>
            </w:r>
            <w:r w:rsidRPr="00C152F9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   </w:t>
            </w:r>
          </w:p>
          <w:p w:rsidR="00147799" w:rsidRPr="00C152F9" w:rsidRDefault="00147799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 w:rsidRPr="00C152F9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ab/>
            </w:r>
          </w:p>
          <w:p w:rsidR="00147799" w:rsidRPr="00C152F9" w:rsidRDefault="00147799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</w:p>
          <w:p w:rsidR="00147799" w:rsidRPr="00C152F9" w:rsidRDefault="00147799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 w:rsidRPr="00C152F9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ab/>
              <w:t>Pravni temelj za donošenje ove Odluke je članak</w:t>
            </w:r>
            <w:r w:rsidRPr="00C152F9">
              <w:rPr>
                <w:rFonts w:ascii="Garamond" w:eastAsia="Times New Roman" w:hAnsi="Garamond"/>
                <w:b/>
                <w:bCs/>
                <w:sz w:val="24"/>
                <w:szCs w:val="24"/>
                <w:lang w:val="hr-HR" w:eastAsia="hr-HR"/>
              </w:rPr>
              <w:t xml:space="preserve"> </w:t>
            </w:r>
            <w:r w:rsidRPr="00C152F9">
              <w:rPr>
                <w:rFonts w:ascii="Garamond" w:hAnsi="Garamond"/>
                <w:sz w:val="24"/>
                <w:szCs w:val="24"/>
                <w:lang w:val="hr-HR"/>
              </w:rPr>
              <w:t>98. Zakona o komunalnom gospodarstvu („Narodne novine“ broj 68/18) koji je stupio na snagu 04. kolovoza 2018. godine.</w:t>
            </w:r>
          </w:p>
          <w:p w:rsidR="001D7128" w:rsidRPr="00C152F9" w:rsidRDefault="001D7128">
            <w:pPr>
              <w:spacing w:before="35" w:after="0" w:line="240" w:lineRule="auto"/>
              <w:ind w:left="164"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D7128" w:rsidRPr="00C152F9" w:rsidTr="00200F7D">
        <w:trPr>
          <w:trHeight w:hRule="exact" w:val="335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B1321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Datum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C152F9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26.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studenog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2018.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godine</w:t>
            </w:r>
            <w:proofErr w:type="spellEnd"/>
          </w:p>
        </w:tc>
      </w:tr>
      <w:tr w:rsidR="001D7128" w:rsidRPr="00C152F9" w:rsidTr="0093761E">
        <w:trPr>
          <w:trHeight w:hRule="exact" w:val="10375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C152F9" w:rsidRPr="00C152F9" w:rsidRDefault="00C152F9" w:rsidP="00C152F9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Odredbom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članka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130.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stavkom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1.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komunalnom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gospodarstvu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(„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Narodne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novine</w:t>
            </w:r>
            <w:proofErr w:type="gramStart"/>
            <w:r w:rsidRPr="00C152F9">
              <w:rPr>
                <w:rFonts w:ascii="Garamond" w:hAnsi="Garamond" w:cs="Times New Roman"/>
                <w:sz w:val="24"/>
                <w:szCs w:val="24"/>
              </w:rPr>
              <w:t>“ br</w:t>
            </w:r>
            <w:proofErr w:type="gram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. 68/18 -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daljnjem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tekstu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: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Zakon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),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propisano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jedinica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lokalne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samouprave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donijet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odluku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iz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članka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95.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stavka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1.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roku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šest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mjeseci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dana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stupanja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snagu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. </w:t>
            </w:r>
          </w:p>
          <w:p w:rsidR="00C152F9" w:rsidRDefault="00C152F9" w:rsidP="00C152F9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Na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temelju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odredbe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članka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95.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stavka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1.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predstavničko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tijelo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jedinice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lokalne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samouprave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donosi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odluku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kojom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određuju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područja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zona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jedinici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lokalne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samouprave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kojima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naplaćuje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koeficijent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zone (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Kz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) za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pojedine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zone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jedinici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lokalne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samouprave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kojima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naplaćuje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koeficijent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namjene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Kn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) za 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nekretnine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plaća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rok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plaćanja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nekretnine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važne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jedinicu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lokalne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samouprave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se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potpunosti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djelomično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oslobađaju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plaćanja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opći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uvjeti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razlozi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zbog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kojih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se u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pojedinačnim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slučajevima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odobrava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djelomično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potpuno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oslobađanje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plaćanja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naknade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.</w:t>
            </w:r>
          </w:p>
          <w:p w:rsidR="00C152F9" w:rsidRDefault="00C152F9" w:rsidP="00C152F9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Sukladno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gore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navedenom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Općina Punat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dužn</w:t>
            </w:r>
            <w:r>
              <w:rPr>
                <w:rFonts w:ascii="Garamond" w:hAnsi="Garamond" w:cs="Times New Roman"/>
                <w:sz w:val="24"/>
                <w:szCs w:val="24"/>
              </w:rPr>
              <w:t>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donijeti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Odluku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naknadi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radi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usklađivanja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novim</w:t>
            </w:r>
            <w:proofErr w:type="spellEnd"/>
            <w:r w:rsidRPr="00C152F9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 w:cs="Times New Roman"/>
                <w:sz w:val="24"/>
                <w:szCs w:val="24"/>
              </w:rPr>
              <w:t>Zakonom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>.</w:t>
            </w:r>
          </w:p>
          <w:p w:rsidR="00C152F9" w:rsidRPr="00C152F9" w:rsidRDefault="00C152F9" w:rsidP="00C152F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152F9">
              <w:rPr>
                <w:rFonts w:ascii="Garamond" w:hAnsi="Garamond"/>
                <w:sz w:val="24"/>
                <w:szCs w:val="24"/>
              </w:rPr>
              <w:t xml:space="preserve">Novine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odnosu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dosadašnji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postupak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utvrđivanja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navedene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nastavku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>.</w:t>
            </w:r>
          </w:p>
          <w:p w:rsidR="00C152F9" w:rsidRDefault="00C152F9" w:rsidP="00C152F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C152F9">
              <w:rPr>
                <w:rFonts w:ascii="Garamond" w:hAnsi="Garamond"/>
                <w:sz w:val="24"/>
                <w:szCs w:val="24"/>
              </w:rPr>
              <w:t xml:space="preserve">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prvom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redu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promijenjen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obveznik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Prema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prijašnjem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Zakonu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komunalnom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gospodarstvu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obveznici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plaćanja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bili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„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vlasnici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odnosno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korisnici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: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stambenog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prostora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poslovnog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prostora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garažnog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prostora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građevinskog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zemljišta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služi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svrhu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obavljanja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poslovne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djelatnosti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neizgrađenog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građevnog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zemljišta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“.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Prema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novom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Zakonu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plaća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vlasnik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navedenih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istih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nekretnina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plaća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stambeni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prostor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poslovni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prostor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garažni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prostor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građevinsko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zemljište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služi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svrhu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obavljanja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poslovne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djelatnosti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neizgrađeno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građevinsko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zemljište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),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odnosno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korisnik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ali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korisnik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samo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ako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njega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od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strane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vlasnika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prenesena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pisanim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ugovorom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obveza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plaćanja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ako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nekretnina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koristi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bez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pravne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osnove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ako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se ne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može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utvrditi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vlasnik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članak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93.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>).</w:t>
            </w:r>
          </w:p>
          <w:p w:rsidR="00C152F9" w:rsidRDefault="00C152F9" w:rsidP="00C152F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Novina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institut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solidarnog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jamstva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plaćanje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Vlasnik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nekretnine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solidarno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jamči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plaćanje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od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strane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korisnika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,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slučaju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kada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vlasnik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pisanim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ugovorom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prenio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obvezu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plaćanja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korisnika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članak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93.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stavak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3.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>).</w:t>
            </w:r>
          </w:p>
          <w:p w:rsidR="004F214F" w:rsidRPr="00C152F9" w:rsidRDefault="00C152F9" w:rsidP="0093761E">
            <w:pPr>
              <w:spacing w:after="0" w:line="240" w:lineRule="auto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K</w:t>
            </w:r>
            <w:r w:rsidRPr="00C152F9">
              <w:rPr>
                <w:rFonts w:ascii="Garamond" w:hAnsi="Garamond"/>
                <w:sz w:val="24"/>
                <w:szCs w:val="24"/>
              </w:rPr>
              <w:t>omunalna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rješenju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utvrđuje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se </w:t>
            </w:r>
            <w:r w:rsidRPr="00C152F9">
              <w:rPr>
                <w:rFonts w:ascii="Garamond" w:hAnsi="Garamond"/>
                <w:sz w:val="24"/>
                <w:szCs w:val="24"/>
              </w:rPr>
              <w:t xml:space="preserve">u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godišnjem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iznosu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uz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mogućnost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godišnji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plaća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mjesečno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obrocima</w:t>
            </w:r>
            <w:proofErr w:type="spellEnd"/>
            <w:proofErr w:type="gramStart"/>
            <w:r w:rsidRPr="00C152F9">
              <w:rPr>
                <w:rFonts w:ascii="Garamond" w:hAnsi="Garamond"/>
                <w:sz w:val="24"/>
                <w:szCs w:val="24"/>
              </w:rPr>
              <w:t>  (</w:t>
            </w:r>
            <w:proofErr w:type="spellStart"/>
            <w:proofErr w:type="gramEnd"/>
            <w:r w:rsidRPr="00C152F9">
              <w:rPr>
                <w:rFonts w:ascii="Garamond" w:hAnsi="Garamond"/>
                <w:sz w:val="24"/>
                <w:szCs w:val="24"/>
              </w:rPr>
              <w:t>članak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101.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Zakona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).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Prema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prijašnjem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Zakonu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komunalnom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gospodarstvu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rješenjem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naknadi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utvrđivao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mjesečni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>iznos</w:t>
            </w:r>
            <w:proofErr w:type="spellEnd"/>
            <w:r w:rsidRPr="00C152F9">
              <w:rPr>
                <w:rStyle w:val="strongemphasis"/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komunalne</w:t>
            </w:r>
            <w:proofErr w:type="spellEnd"/>
            <w:r w:rsidRPr="00C152F9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  <w:sz w:val="24"/>
                <w:szCs w:val="24"/>
              </w:rPr>
              <w:t>naknade.</w:t>
            </w:r>
            <w:r w:rsidRPr="00C152F9">
              <w:rPr>
                <w:rFonts w:ascii="Garamond" w:hAnsi="Garamond"/>
              </w:rPr>
              <w:t>Treća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bitna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novina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Zakona</w:t>
            </w:r>
            <w:proofErr w:type="spellEnd"/>
            <w:r w:rsidRPr="00C152F9">
              <w:rPr>
                <w:rFonts w:ascii="Garamond" w:hAnsi="Garamond"/>
              </w:rPr>
              <w:t xml:space="preserve"> je </w:t>
            </w:r>
            <w:proofErr w:type="spellStart"/>
            <w:r w:rsidRPr="00C152F9">
              <w:rPr>
                <w:rFonts w:ascii="Garamond" w:hAnsi="Garamond"/>
              </w:rPr>
              <w:t>što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je </w:t>
            </w:r>
            <w:proofErr w:type="spellStart"/>
            <w:r w:rsidRPr="00C152F9">
              <w:rPr>
                <w:rFonts w:ascii="Garamond" w:hAnsi="Garamond"/>
              </w:rPr>
              <w:t>obveznik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komunalne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naknade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koji</w:t>
            </w:r>
            <w:proofErr w:type="spellEnd"/>
            <w:r w:rsidRPr="00C152F9">
              <w:rPr>
                <w:rFonts w:ascii="Garamond" w:hAnsi="Garamond"/>
              </w:rPr>
              <w:t xml:space="preserve"> u </w:t>
            </w:r>
            <w:proofErr w:type="spellStart"/>
            <w:r w:rsidRPr="00C152F9">
              <w:rPr>
                <w:rFonts w:ascii="Garamond" w:hAnsi="Garamond"/>
              </w:rPr>
              <w:t>zakonskom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roku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od</w:t>
            </w:r>
            <w:proofErr w:type="spellEnd"/>
            <w:r w:rsidRPr="00C152F9">
              <w:rPr>
                <w:rFonts w:ascii="Garamond" w:hAnsi="Garamond"/>
              </w:rPr>
              <w:t xml:space="preserve"> 15 </w:t>
            </w:r>
            <w:proofErr w:type="spellStart"/>
            <w:r w:rsidRPr="00C152F9">
              <w:rPr>
                <w:rFonts w:ascii="Garamond" w:hAnsi="Garamond"/>
              </w:rPr>
              <w:t>dana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od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dana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nastanka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obveze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plaćanja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komunalne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naknade</w:t>
            </w:r>
            <w:proofErr w:type="spellEnd"/>
            <w:r w:rsidRPr="00C152F9">
              <w:rPr>
                <w:rFonts w:ascii="Garamond" w:hAnsi="Garamond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</w:rPr>
              <w:t>promjene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obveznika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ili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promjene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obračunske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površine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ili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namjene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nekretnine</w:t>
            </w:r>
            <w:proofErr w:type="spellEnd"/>
            <w:r w:rsidRPr="00C152F9">
              <w:rPr>
                <w:rFonts w:ascii="Garamond" w:hAnsi="Garamond"/>
              </w:rPr>
              <w:t xml:space="preserve">, ne </w:t>
            </w:r>
            <w:proofErr w:type="spellStart"/>
            <w:r w:rsidRPr="00C152F9">
              <w:rPr>
                <w:rFonts w:ascii="Garamond" w:hAnsi="Garamond"/>
              </w:rPr>
              <w:t>prijavi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Općini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nastanak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ili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promjenu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svoje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obveze</w:t>
            </w:r>
            <w:proofErr w:type="spellEnd"/>
            <w:r w:rsidRPr="00C152F9">
              <w:rPr>
                <w:rFonts w:ascii="Garamond" w:hAnsi="Garamond"/>
              </w:rPr>
              <w:t xml:space="preserve">, </w:t>
            </w:r>
            <w:proofErr w:type="spellStart"/>
            <w:r w:rsidRPr="00C152F9">
              <w:rPr>
                <w:rFonts w:ascii="Garamond" w:hAnsi="Garamond"/>
              </w:rPr>
              <w:t>dužan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platiti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komunalnu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naknadu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od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dana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nastanka</w:t>
            </w:r>
            <w:proofErr w:type="spellEnd"/>
            <w:r w:rsidRPr="00C152F9">
              <w:rPr>
                <w:rFonts w:ascii="Garamond" w:hAnsi="Garamond"/>
              </w:rPr>
              <w:t xml:space="preserve"> </w:t>
            </w:r>
            <w:proofErr w:type="spellStart"/>
            <w:r w:rsidRPr="00C152F9">
              <w:rPr>
                <w:rFonts w:ascii="Garamond" w:hAnsi="Garamond"/>
              </w:rPr>
              <w:t>obveze</w:t>
            </w:r>
            <w:proofErr w:type="spellEnd"/>
            <w:r w:rsidRPr="00C152F9">
              <w:rPr>
                <w:rFonts w:ascii="Garamond" w:hAnsi="Garamond"/>
              </w:rPr>
              <w:t xml:space="preserve"> (</w:t>
            </w:r>
            <w:proofErr w:type="spellStart"/>
            <w:r w:rsidRPr="00C152F9">
              <w:rPr>
                <w:rFonts w:ascii="Garamond" w:hAnsi="Garamond"/>
              </w:rPr>
              <w:t>članak</w:t>
            </w:r>
            <w:proofErr w:type="spellEnd"/>
            <w:r w:rsidRPr="00C152F9">
              <w:rPr>
                <w:rFonts w:ascii="Garamond" w:hAnsi="Garamond"/>
              </w:rPr>
              <w:t xml:space="preserve"> 94. </w:t>
            </w:r>
            <w:proofErr w:type="spellStart"/>
            <w:r w:rsidRPr="00C152F9">
              <w:rPr>
                <w:rFonts w:ascii="Garamond" w:hAnsi="Garamond"/>
              </w:rPr>
              <w:t>stavaka</w:t>
            </w:r>
            <w:proofErr w:type="spellEnd"/>
            <w:r w:rsidRPr="00C152F9">
              <w:rPr>
                <w:rFonts w:ascii="Garamond" w:hAnsi="Garamond"/>
              </w:rPr>
              <w:t xml:space="preserve"> 4. </w:t>
            </w:r>
            <w:proofErr w:type="spellStart"/>
            <w:r w:rsidRPr="00C152F9">
              <w:rPr>
                <w:rFonts w:ascii="Garamond" w:hAnsi="Garamond"/>
              </w:rPr>
              <w:t>Zakona</w:t>
            </w:r>
            <w:proofErr w:type="spellEnd"/>
            <w:r w:rsidRPr="00C152F9">
              <w:rPr>
                <w:rFonts w:ascii="Garamond" w:hAnsi="Garamond"/>
              </w:rPr>
              <w:t>).</w:t>
            </w:r>
            <w:r w:rsid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Zakon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taksativno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navodi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kada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nastaje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obveza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plaćanja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komunalne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naknade</w:t>
            </w:r>
            <w:proofErr w:type="spellEnd"/>
            <w:r w:rsidRPr="00EE01E3">
              <w:rPr>
                <w:rFonts w:ascii="Garamond" w:hAnsi="Garamond"/>
              </w:rPr>
              <w:t xml:space="preserve"> (</w:t>
            </w:r>
            <w:proofErr w:type="spellStart"/>
            <w:r w:rsidRPr="00EE01E3">
              <w:rPr>
                <w:rFonts w:ascii="Garamond" w:hAnsi="Garamond"/>
              </w:rPr>
              <w:t>članak</w:t>
            </w:r>
            <w:proofErr w:type="spellEnd"/>
            <w:r w:rsidRPr="00EE01E3">
              <w:rPr>
                <w:rFonts w:ascii="Garamond" w:hAnsi="Garamond"/>
              </w:rPr>
              <w:t xml:space="preserve"> 94. </w:t>
            </w:r>
            <w:proofErr w:type="spellStart"/>
            <w:r w:rsidRPr="00EE01E3">
              <w:rPr>
                <w:rFonts w:ascii="Garamond" w:hAnsi="Garamond"/>
              </w:rPr>
              <w:t>stavak</w:t>
            </w:r>
            <w:proofErr w:type="spellEnd"/>
            <w:r w:rsidRPr="00EE01E3">
              <w:rPr>
                <w:rFonts w:ascii="Garamond" w:hAnsi="Garamond"/>
              </w:rPr>
              <w:t xml:space="preserve"> 1. </w:t>
            </w:r>
            <w:proofErr w:type="spellStart"/>
            <w:r w:rsidRPr="00EE01E3">
              <w:rPr>
                <w:rFonts w:ascii="Garamond" w:hAnsi="Garamond"/>
              </w:rPr>
              <w:t>Zakona</w:t>
            </w:r>
            <w:proofErr w:type="spellEnd"/>
            <w:r w:rsidRPr="00EE01E3">
              <w:rPr>
                <w:rFonts w:ascii="Garamond" w:hAnsi="Garamond"/>
              </w:rPr>
              <w:t xml:space="preserve">). Za </w:t>
            </w:r>
            <w:proofErr w:type="spellStart"/>
            <w:r w:rsidRPr="00EE01E3">
              <w:rPr>
                <w:rFonts w:ascii="Garamond" w:hAnsi="Garamond"/>
              </w:rPr>
              <w:t>novoizgrađenu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nekretninu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obveza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plaćanja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komunalne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naknade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nastaje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danom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izvršnosti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uporabne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dozvole</w:t>
            </w:r>
            <w:proofErr w:type="spellEnd"/>
            <w:r w:rsidRPr="00EE01E3">
              <w:rPr>
                <w:rFonts w:ascii="Garamond" w:hAnsi="Garamond"/>
              </w:rPr>
              <w:t xml:space="preserve">, </w:t>
            </w:r>
            <w:proofErr w:type="spellStart"/>
            <w:r w:rsidRPr="00EE01E3">
              <w:rPr>
                <w:rFonts w:ascii="Garamond" w:hAnsi="Garamond"/>
              </w:rPr>
              <w:t>odnosno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ako</w:t>
            </w:r>
            <w:proofErr w:type="spellEnd"/>
            <w:r w:rsidRPr="00EE01E3">
              <w:rPr>
                <w:rFonts w:ascii="Garamond" w:hAnsi="Garamond"/>
              </w:rPr>
              <w:t xml:space="preserve"> se </w:t>
            </w:r>
            <w:proofErr w:type="spellStart"/>
            <w:r w:rsidRPr="00EE01E3">
              <w:rPr>
                <w:rFonts w:ascii="Garamond" w:hAnsi="Garamond"/>
              </w:rPr>
              <w:t>nekretnina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koristi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bez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uporabne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dozvole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danom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početka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korištenja</w:t>
            </w:r>
            <w:proofErr w:type="spellEnd"/>
            <w:r w:rsidRPr="00EE01E3">
              <w:rPr>
                <w:rFonts w:ascii="Garamond" w:hAnsi="Garamond"/>
              </w:rPr>
              <w:t xml:space="preserve">. Za </w:t>
            </w:r>
            <w:proofErr w:type="spellStart"/>
            <w:r w:rsidRPr="00EE01E3">
              <w:rPr>
                <w:rFonts w:ascii="Garamond" w:hAnsi="Garamond"/>
              </w:rPr>
              <w:t>postojeću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nekretninu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obveza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plaćanja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nastaje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danom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sklapanja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kupoprodajnog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ugovora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kojim</w:t>
            </w:r>
            <w:proofErr w:type="spellEnd"/>
            <w:r w:rsidRPr="00EE01E3">
              <w:rPr>
                <w:rFonts w:ascii="Garamond" w:hAnsi="Garamond"/>
              </w:rPr>
              <w:t xml:space="preserve"> se </w:t>
            </w:r>
            <w:proofErr w:type="spellStart"/>
            <w:r w:rsidRPr="00EE01E3">
              <w:rPr>
                <w:rFonts w:ascii="Garamond" w:hAnsi="Garamond"/>
              </w:rPr>
              <w:t>stječe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vlasništvo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ili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pravo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korištenja</w:t>
            </w:r>
            <w:proofErr w:type="spellEnd"/>
            <w:r w:rsidRPr="00EE01E3">
              <w:rPr>
                <w:rFonts w:ascii="Garamond" w:hAnsi="Garamond"/>
              </w:rPr>
              <w:t xml:space="preserve">, </w:t>
            </w:r>
            <w:proofErr w:type="spellStart"/>
            <w:r w:rsidRPr="00EE01E3">
              <w:rPr>
                <w:rFonts w:ascii="Garamond" w:hAnsi="Garamond"/>
              </w:rPr>
              <w:t>danom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pravomoćnosti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odluke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tijela</w:t>
            </w:r>
            <w:proofErr w:type="spellEnd"/>
            <w:r w:rsidRPr="00EE01E3">
              <w:rPr>
                <w:rFonts w:ascii="Garamond" w:hAnsi="Garamond"/>
              </w:rPr>
              <w:t xml:space="preserve"> javne </w:t>
            </w:r>
            <w:proofErr w:type="spellStart"/>
            <w:r w:rsidRPr="00EE01E3">
              <w:rPr>
                <w:rFonts w:ascii="Garamond" w:hAnsi="Garamond"/>
              </w:rPr>
              <w:t>vlasti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kojim</w:t>
            </w:r>
            <w:proofErr w:type="spellEnd"/>
            <w:r w:rsidRPr="00EE01E3">
              <w:rPr>
                <w:rFonts w:ascii="Garamond" w:hAnsi="Garamond"/>
              </w:rPr>
              <w:t xml:space="preserve"> se </w:t>
            </w:r>
            <w:proofErr w:type="spellStart"/>
            <w:r w:rsidRPr="00EE01E3">
              <w:rPr>
                <w:rFonts w:ascii="Garamond" w:hAnsi="Garamond"/>
              </w:rPr>
              <w:t>steče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vlasništvo</w:t>
            </w:r>
            <w:proofErr w:type="spellEnd"/>
            <w:r w:rsidRPr="00EE01E3">
              <w:rPr>
                <w:rFonts w:ascii="Garamond" w:hAnsi="Garamond"/>
              </w:rPr>
              <w:t xml:space="preserve">, </w:t>
            </w:r>
            <w:proofErr w:type="spellStart"/>
            <w:r w:rsidRPr="00EE01E3">
              <w:rPr>
                <w:rFonts w:ascii="Garamond" w:hAnsi="Garamond"/>
              </w:rPr>
              <w:t>odnosno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danom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početka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korištenja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nekretnine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koja</w:t>
            </w:r>
            <w:proofErr w:type="spellEnd"/>
            <w:r w:rsidRPr="00EE01E3">
              <w:rPr>
                <w:rFonts w:ascii="Garamond" w:hAnsi="Garamond"/>
              </w:rPr>
              <w:t xml:space="preserve"> se </w:t>
            </w:r>
            <w:proofErr w:type="spellStart"/>
            <w:r w:rsidRPr="00EE01E3">
              <w:rPr>
                <w:rFonts w:ascii="Garamond" w:hAnsi="Garamond"/>
              </w:rPr>
              <w:t>koristi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bez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pravne</w:t>
            </w:r>
            <w:proofErr w:type="spellEnd"/>
            <w:r w:rsidRPr="00EE01E3">
              <w:rPr>
                <w:rFonts w:ascii="Garamond" w:hAnsi="Garamond"/>
              </w:rPr>
              <w:t xml:space="preserve"> </w:t>
            </w:r>
            <w:proofErr w:type="spellStart"/>
            <w:r w:rsidRPr="00EE01E3">
              <w:rPr>
                <w:rFonts w:ascii="Garamond" w:hAnsi="Garamond"/>
              </w:rPr>
              <w:t>osnove</w:t>
            </w:r>
            <w:proofErr w:type="spellEnd"/>
            <w:r w:rsidRPr="00EE01E3">
              <w:rPr>
                <w:rFonts w:ascii="Garamond" w:hAnsi="Garamond"/>
              </w:rPr>
              <w:t>.</w:t>
            </w:r>
          </w:p>
        </w:tc>
      </w:tr>
      <w:tr w:rsidR="001D7128" w:rsidRPr="00C152F9" w:rsidTr="00EE01E3">
        <w:trPr>
          <w:trHeight w:hRule="exact" w:val="558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95E75" w:rsidRPr="00C152F9" w:rsidRDefault="00B95E75" w:rsidP="00C152F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komunalnoj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naknadi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području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</w:t>
            </w:r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EE01E3">
        <w:trPr>
          <w:trHeight w:hRule="exact" w:val="851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95E75" w:rsidRPr="00C152F9" w:rsidRDefault="00B95E75" w:rsidP="00C152F9">
            <w:pPr>
              <w:spacing w:before="35" w:after="0" w:line="240" w:lineRule="auto"/>
              <w:ind w:left="108" w:right="-20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>Cilj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javnošću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upoznavanje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</w:t>
            </w:r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nta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prikupljanje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primjedbi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razmatrati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eventualno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prihvatiti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EE01E3">
        <w:trPr>
          <w:trHeight w:hRule="exact" w:val="76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95E75" w:rsidRPr="00C152F9" w:rsidRDefault="00B95E75" w:rsidP="00C152F9">
            <w:pPr>
              <w:spacing w:before="37" w:after="0" w:line="260" w:lineRule="exact"/>
              <w:ind w:left="164" w:right="645" w:hanging="56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</w:t>
            </w:r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priloženo</w:t>
            </w:r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</w:t>
            </w:r>
            <w:proofErr w:type="spellEnd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obrasca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sudjelovanje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93761E">
        <w:trPr>
          <w:trHeight w:hRule="exact" w:val="933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613FD8" w:rsidRPr="00C152F9" w:rsidRDefault="00613FD8" w:rsidP="00C152F9">
            <w:pPr>
              <w:spacing w:before="37" w:after="0" w:line="260" w:lineRule="exact"/>
              <w:ind w:left="164" w:right="270" w:hanging="56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otvoreno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do </w:t>
            </w:r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11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B24264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rosinca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2018. </w:t>
            </w:r>
            <w:proofErr w:type="spellStart"/>
            <w:r w:rsidR="00B24264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bit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pružene</w:t>
            </w:r>
            <w:proofErr w:type="spellEnd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zaključenju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</w:t>
            </w:r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prilog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93761E">
        <w:trPr>
          <w:trHeight w:hRule="exact" w:val="99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613FD8" w:rsidRPr="00C152F9" w:rsidRDefault="00613FD8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Za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sve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dodatne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upite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sudionici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mogu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obratiti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pismeno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adresu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Punat,</w:t>
            </w:r>
            <w:r w:rsidR="00200F7D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Novi put 2, 51521 Punat,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Ivani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Svetec,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savjetnici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imovinsko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-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pravne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="00200F7D">
              <w:rPr>
                <w:rFonts w:ascii="Garamond" w:eastAsia="Myriad Pro" w:hAnsi="Garamond" w:cs="Myriad Pro"/>
                <w:sz w:val="24"/>
                <w:szCs w:val="24"/>
              </w:rPr>
              <w:t>i</w:t>
            </w:r>
            <w:proofErr w:type="spellEnd"/>
            <w:r w:rsid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opće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poslove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elektronske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pošte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e-mail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adresu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hyperlink r:id="rId6" w:history="1">
              <w:r w:rsidRPr="00C152F9">
                <w:rPr>
                  <w:rStyle w:val="Hyperlink"/>
                  <w:rFonts w:ascii="Garamond" w:eastAsia="Myriad Pro" w:hAnsi="Garamond" w:cs="Myriad Pro"/>
                  <w:sz w:val="24"/>
                  <w:szCs w:val="24"/>
                </w:rPr>
                <w:t>ivana.svetec@punat.hr</w:t>
              </w:r>
            </w:hyperlink>
          </w:p>
          <w:p w:rsidR="00613FD8" w:rsidRPr="00C152F9" w:rsidRDefault="00613FD8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D7128" w:rsidRPr="00C152F9" w:rsidTr="0093761E">
        <w:trPr>
          <w:trHeight w:hRule="exact" w:val="211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C152F9" w:rsidRDefault="00B13212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zahtjev</w:t>
            </w:r>
            <w:proofErr w:type="spellEnd"/>
            <w:proofErr w:type="gram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onima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sudjeluju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objasne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tko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gdje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elevantn</w:t>
            </w:r>
            <w:r w:rsidRPr="00C152F9">
              <w:rPr>
                <w:rFonts w:ascii="Garamond" w:eastAsia="Myriad Pro" w:hAnsi="Garamond" w:cs="Myriad Pro"/>
                <w:color w:val="231F20"/>
                <w:spacing w:val="-5"/>
                <w:sz w:val="24"/>
                <w:szCs w:val="24"/>
              </w:rPr>
              <w:t>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edst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vljaju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posebno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dodatno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konzultirali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ako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osiguralo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odg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edst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vnič</w:t>
            </w:r>
            <w:r w:rsidRPr="00C152F9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ih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tijela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ežinu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)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Molimo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navedu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svoje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prezime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u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čije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daju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mišljenje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odnosno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predstavljaju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posebno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konzultirali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</w:p>
          <w:p w:rsidR="001D7128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Sa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osobnim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podacima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budu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sadržani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postupat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sukladno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propisima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izjavama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8C19AD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8C19AD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8C19AD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D7128" w:rsidRPr="00C152F9" w:rsidTr="00EE01E3">
        <w:trPr>
          <w:trHeight w:hRule="exact" w:val="69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8C19AD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Odgovori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</w:t>
            </w:r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upni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službenoj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sklopu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rasprav</w:t>
            </w:r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tražio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ostanu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povjerljivi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93761E">
        <w:trPr>
          <w:trHeight w:hRule="exact" w:val="842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C152F9" w:rsidRDefault="008C19A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Pozivaju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dostavu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povratnih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samom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procesu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poboljšanje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budućnosti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Hvala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!</w:t>
            </w:r>
          </w:p>
          <w:p w:rsidR="008C19AD" w:rsidRPr="00C152F9" w:rsidRDefault="008C19A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</w:tbl>
    <w:p w:rsidR="00B13212" w:rsidRPr="00C152F9" w:rsidRDefault="00B13212" w:rsidP="005E5EEF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sectPr w:rsidR="00B13212" w:rsidRPr="00C152F9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DA" w:rsidRDefault="00B54ADA" w:rsidP="001D7128">
      <w:pPr>
        <w:spacing w:after="0" w:line="240" w:lineRule="auto"/>
      </w:pPr>
      <w:r>
        <w:separator/>
      </w:r>
    </w:p>
  </w:endnote>
  <w:endnote w:type="continuationSeparator" w:id="0">
    <w:p w:rsidR="00B54ADA" w:rsidRDefault="00B54AD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151C5F">
    <w:pPr>
      <w:spacing w:after="0" w:line="200" w:lineRule="exact"/>
      <w:rPr>
        <w:sz w:val="20"/>
        <w:szCs w:val="20"/>
      </w:rPr>
    </w:pPr>
    <w:r w:rsidRPr="00151C5F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DA" w:rsidRDefault="00B54ADA" w:rsidP="001D7128">
      <w:pPr>
        <w:spacing w:after="0" w:line="240" w:lineRule="auto"/>
      </w:pPr>
      <w:r>
        <w:separator/>
      </w:r>
    </w:p>
  </w:footnote>
  <w:footnote w:type="continuationSeparator" w:id="0">
    <w:p w:rsidR="00B54ADA" w:rsidRDefault="00B54ADA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1349D"/>
    <w:rsid w:val="00075BBA"/>
    <w:rsid w:val="00101B3F"/>
    <w:rsid w:val="00147799"/>
    <w:rsid w:val="00151C5F"/>
    <w:rsid w:val="001C0693"/>
    <w:rsid w:val="001C30ED"/>
    <w:rsid w:val="001D7128"/>
    <w:rsid w:val="00200F7D"/>
    <w:rsid w:val="0027061D"/>
    <w:rsid w:val="00292FC3"/>
    <w:rsid w:val="003463BF"/>
    <w:rsid w:val="003643E7"/>
    <w:rsid w:val="004067CB"/>
    <w:rsid w:val="004F214F"/>
    <w:rsid w:val="00500427"/>
    <w:rsid w:val="005946BE"/>
    <w:rsid w:val="005D6C6F"/>
    <w:rsid w:val="005E5EEF"/>
    <w:rsid w:val="00613FD8"/>
    <w:rsid w:val="008C19AD"/>
    <w:rsid w:val="00920EF5"/>
    <w:rsid w:val="0093761E"/>
    <w:rsid w:val="009801E9"/>
    <w:rsid w:val="00990722"/>
    <w:rsid w:val="009E07D5"/>
    <w:rsid w:val="00A27DAB"/>
    <w:rsid w:val="00B13212"/>
    <w:rsid w:val="00B22764"/>
    <w:rsid w:val="00B24264"/>
    <w:rsid w:val="00B54ADA"/>
    <w:rsid w:val="00B71000"/>
    <w:rsid w:val="00B773E5"/>
    <w:rsid w:val="00B95E75"/>
    <w:rsid w:val="00C152F9"/>
    <w:rsid w:val="00C215C1"/>
    <w:rsid w:val="00C46921"/>
    <w:rsid w:val="00DF4962"/>
    <w:rsid w:val="00E12444"/>
    <w:rsid w:val="00EE01E3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613FD8"/>
    <w:rPr>
      <w:color w:val="0000FF" w:themeColor="hyperlink"/>
      <w:u w:val="single"/>
    </w:rPr>
  </w:style>
  <w:style w:type="paragraph" w:customStyle="1" w:styleId="textbody">
    <w:name w:val="textbody"/>
    <w:basedOn w:val="Normal"/>
    <w:rsid w:val="00C15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rongemphasis">
    <w:name w:val="strongemphasis"/>
    <w:basedOn w:val="DefaultParagraphFont"/>
    <w:rsid w:val="00C1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svete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7</cp:revision>
  <cp:lastPrinted>2018-11-26T11:42:00Z</cp:lastPrinted>
  <dcterms:created xsi:type="dcterms:W3CDTF">2018-11-26T11:30:00Z</dcterms:created>
  <dcterms:modified xsi:type="dcterms:W3CDTF">2018-11-28T13:37:00Z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